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 (Supplementary Fig. S7).</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(Fig. 4d;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(Fig. 5d; Supplementary Fig. S10; Supplementary Table S4b).</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Fig. 5a and Supplementary Table S3). In GSE23307 primary B cells exposed ex vivo to IFN-beta, all 12 genes in the frozen positive arm increased in each of two healthy donors, with mean paired log2(x+1) effects of 3.294 and 3.666. No inferential P value was calculated at n=2 (Fig. 5e).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transfer and mechanistic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Disease-blind B_CONV/B_ASC adjudication preceded sample-cohort analyses; hard fine states were not used. b, Median/minimum mapped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GSE174188 discovery/internal effects beside source-label-defined GSE135779 effects. c, Effects for 4,410 shared tested genes; all ten IFN genes were positive despite genome-wide Spearman rho=0.026. d, Required corrected elastic-net calibration, displayed as observed minus criterion. Coverage and B_CONV precision passed; B_ASC precision was 0.885 (&lt;0.90), so no corrected external disease effect was estimated. Dashed line, criterion equality. Supplementary Figs. S7/S8 retain full influence/remapping diagnostics. Donors are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ULM STAT1/STAT2 is confirmatory observational evidence across three contrasts; M5911 and GSE23307 provide response-set and descriptive perturbational context, respectively. None establishes causality, direct binding or a unique upstream stimulus. b, Core STAT1/STAT2 and extended IRF7/IRF9 CollecTRI slopes across discovery, donor-nonoverlap and childhood contrasts. c, Prespecified proliferation comparators; asterisks, global 24-test q&lt;0.05. d, Post-freeze ULM sensitivity after removal of the 12-gene IFN/ISG arm or 97-gene M5911 set (95% CIs). Discovery STAT2 crossed zero only after M5911 removal; full ULM/CAMERA/FRY results are in Supplementary Fig. S10 and Supplementary Table S4b. e, Paired log2(x+1) effects for the 12-gene IFN arm in two IFN-beta-exposed donors; lines link identical genes, all effects were positive and no P value was calculated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Figure 5 source-traceable regulatory-ceiling promotion</dc:subject>
  <dc:creator>Zhi Chen; Teng Qi</dc:creator>
  <cp:keywords>SLE; B cells; single-cell RNA sequencing; interferon</cp:keywords>
  <dc:description>Source-rerendered Figure 5d; three exact claim-owner edits; no statistical-value change.</dc:description>
  <cp:lastModifiedBy/>
  <cp:revision>1</cp:revision>
  <dcterms:created xsi:type="dcterms:W3CDTF">2013-12-23T23:15:00Z</dcterms:created>
  <dcterms:modified xsi:type="dcterms:W3CDTF">2013-12-23T23:15:00Z</dcterms:modified>
  <cp:category/>
</cp:coreProperties>
</file>