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less 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biological-unit-aware inference. Among 150,402 discovery B-lineage cells, end-to-end resampling failed a prespecified antibody-secreting-cell overlap criterion, restricting broad B-cell compartments to an analysis scaffold; propagating observed assignment exchanges did not change the primary composition interpretation or the positive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Thus, reproducibility was stronger for a process-level interferon program than for hard state assignments, without establishing a universal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replication tests, and which remain cohort-specific, representation-dependent or mechanistically unproven (Supplementary Tables S1 and S2).</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GSE174188 B-lineage source matrix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 (Supplementary Fig. S1).</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(Supplementary Fig. S2).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 (Supplementary Fig. S3).</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1a-c).</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Fig. 1d; Supplementary Fig. S4). A median of 76 of 120,320 sampled cells exchanged broad-state assignment per replicate.</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 (Fig. 2a-d; Supplementary Fig. S5).</w:t>
      </w:r>
    </w:p>
    <w:p>
      <w:pPr>
        <w:widowControl/>
      </w:pPr>
      <w:r>
        <w:rPr>
          <w:rFonts w:ascii="Times New Roman" w:hAnsi="Times New Roman" w:eastAsia="Times New Roman"/>
          <w:color w:val="1F1F1F"/>
          <w:sz w:val="24"/>
        </w:rPr>
        <w:t>Internal analyses did not convert this null result into a general composition claim. The internal replication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control and 46 source-defined managed-SLE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 (Fig. 3a-c; Supplementary Fig. S6).</w:t>
      </w:r>
    </w:p>
    <w:p>
      <w:pPr>
        <w:widowControl/>
      </w:pPr>
      <w:r>
        <w:rPr>
          <w:rFonts w:ascii="Times New Roman" w:hAnsi="Times New Roman" w:eastAsia="Times New Roman"/>
          <w:color w:val="1F1F1F"/>
          <w:sz w:val="24"/>
        </w:rPr>
        <w:t>The same program was higher in the full internal GSE174188 replication contrast (effect 0.856; q=0.00462) and in the prespecified donor-nonoverlap subset (effect 1.086; q=3.61 x 10^-4). Because both analyses originate from the same accession, they provide internal replication rather than independent replication.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was multiplicity-supported in the internal replication analysis. The atypical/low-naive program was null in the primary contrast (effect -0.057; q=0.748). These results leave IFN/ISG as the only program with consistent support across the prespecified discovery and internal robustness sequence (Fig. 3d).</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checked before disease effects were estimated. The external identity scope was intentionally limited to a broad conventional-B analogue assembled from source B-cell labels; hard naive/memory identities were not transferred. Count conservation and synthetic null and signal datasets were used to verify the statistical implementation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eligible cells in the source-label-defined broad-B analogue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 (Fig. 4a,b; Supplementary Fig. S7).</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 (Supplementary Fig. S7).</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 (Fig. 4c).</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source-label-independent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(Fig. 4d; Supplementary Table S9 and Supplementary Fig. S8).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(Fig. 5a-c).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 (Supplementary Fig. S9; Supplementary Table S4a).</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 (Fig. 5d; Supplementary Fig. S10; Supplementary Table S4b).</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Fig. 5a and Supplementary Table S3). In GSE23307 primary B cells exposed ex vivo to IFN-beta, all 12 genes in the frozen positive arm increased in each of two healthy donors, with mean paired log2(x+1) effects of 3.294 and 3.666. No inferential P value was calculated at n=2 (Fig. 5e).</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with principal quantitative anchors summarized in Supplementary Table S3.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a difference in reproducibility across biological layers, not a new B-cell taxonomy. Fine-state assignments were unsupported, and the retained broad scaffold still carried a B_ASC-specific end-to-end limitation. Preserving that failure constrained B_CONV/B_ASC to an analysis scaffold rather than a transferable taxonomy. Within this scope, assignment uncertainty did not change the primary B_ASC composition interpretation or the direction of B_CONV IFN/ISG effects. The supported result is therefore a process-level interferon association within explicit identity limits, not a disease-defining cell-state label or generalized B_ASC expansion.</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primary comparison, which lacked statistical support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IFN/ISG result remained positive under donor and source-label omission, and all ten jointly tested IFN genes were concordant across the two primary datasets. Yet the genome-wide effect correlation was only rho=0.026. These observations are not contradictory: transcriptome-wide correlation asks whether thousands of gene effects agree across cohorts that differ in age structure, annotation, processing, covariates and gene universe, whereas the program analysis asks whether a prespecified coherent response retains direction and statistical support. The data support the latter, not a globally shared disease transcriptome. Corrected source-label-independent remapping then failed its prespecified B_ASC calibration criterion, so independent replication remains tied to the broad source-label-defined analogue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support an IFN-centred regulatory context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absence of statistical support in the primary composition contrast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replication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process-level interferon association within explicit identity, transfer and mechanistic limits.</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replication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replication.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source-defined managed SLE versus normal, adjusted for age and ethnicity. Internal processing-cohort-2 and secondary processing-cohort-3 analyses of the source-defined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[24,25]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rPr>
          <w:rFonts w:ascii="Times New Roman" w:hAnsi="Times New Roman" w:eastAsia="Times New Roman"/>
          <w:color w:val="1F1F1F"/>
          <w:sz w:val="24"/>
        </w:rPr>
        <w:t>Source-label-defined GSE135779 replication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analogue assembled from eight source B-cell labels, without transferring hard naive/memory identities. Childhood, adult and combined model matrices and minimum-cell sensitivities were fixed before model fitting. Before disease-effect modelling, real matrices were used to verify dimensions and count conservation, and synthetic null and signal data were used to test the statistical implementation.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[26,27]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[28,29]. Expression rows for inhibitory targets were sign-reversed so that a positive set direction retained the signed-regulon interpretation. CAMERA [30] estimated inter-gene correlation from model residuals and performed a competitive rank test, whereas FRY [28,31] provided a fast self-contained approximation to the directional mroast/ROAST gene-set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[32]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Gene-level paired effects were retained for descriptive display; donor means served only as summaries, and no inferential test treated genes as biological replicates.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(Supplementary Tables S5-S8). Disease effects were estimated only after input, design and statistical-implementation verification. Superseded manuscripts and figures were retained for provenance but were not used as numerical sources for the present version.</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[33].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[33].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Chen, Y., Lun, A. T. L. &amp; Smyth, G. K. From reads to genes to pathways: differential expression analysis of RNA-Seq experiments using Rsubread and the edgeR quasi-likelihood pipeline. F1000Res. </w:t>
      </w:r>
      <w:r>
        <w:rPr>
          <w:rFonts w:ascii="Times New Roman" w:hAnsi="Times New Roman" w:eastAsia="Times New Roman"/>
          <w:b/>
          <w:color w:val="1F1F1F"/>
          <w:sz w:val="24"/>
        </w:rPr>
        <w:t>5</w:t>
      </w:r>
      <w:r>
        <w:rPr>
          <w:rFonts w:ascii="Times New Roman" w:hAnsi="Times New Roman" w:eastAsia="Times New Roman"/>
          <w:color w:val="1F1F1F"/>
          <w:sz w:val="24"/>
        </w:rPr>
        <w:t>, 1438 (2016). https://doi.org/10.12688/f1000research.8987.2.</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(MSigDB)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spacing w:before="120" w:after="40"/>
      </w:pPr>
      <w:r>
        <w:rPr>
          <w:rFonts w:ascii="Times New Roman" w:hAnsi="Times New Roman" w:eastAsia="Times New Roman"/>
          <w:color w:val="1F1F1F"/>
          <w:sz w:val="24"/>
        </w:rPr>
        <w:t>Figure 1 | Disease-blind reconstruction defines a bounded analysis scaffold</w:t>
      </w:r>
    </w:p>
    <w:p>
      <w:pPr>
        <w:widowControl/>
      </w:pPr>
      <w:r>
        <w:rPr>
          <w:rFonts w:ascii="Times New Roman" w:hAnsi="Times New Roman" w:eastAsia="Times New Roman"/>
          <w:color w:val="1F1F1F"/>
          <w:sz w:val="24"/>
        </w:rPr>
        <w:t>a, Disease-blind B_CONV/B_ASC adjudication preceded sample-cohort analyses; hard fine states were not used. b, Median/minimum mapped ARI across 20 within-library fixed 50-dimensional Harmony resamples; dashed segment, minimum-ARI criterion 0.90. c, Fixed-representation minimum-to-median state Jaccard; dashed guide, criterion 0.95. B_ASC markers 5/5; minimum sample support 1.00. d, End-to-end minimum-to-median state Jaccard across 20 rebuilds; B_ASC below 0.95, B_CONV concordant. Panels b/c fix the representation; d recomputes highly variable genes, principal components and Harmony. Supplementary Fig. S4 provides replicate diagnostics/downstream propagation. Cell metrics are not disease replicates.</w:t>
      </w:r>
    </w:p>
    <w:p>
      <w:pPr>
        <w:pStyle w:val="Heading2"/>
        <w:spacing w:before="120" w:after="40"/>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43 control and 47 managed-SLE sample-cohort strata, with adjusted fractions and 95% confidence intervals. b, Primary, internal, donor-nonoverlap and secondary flare conditional odds ratios. c, Primary estimate and prespecified minimum-cell, explicit non-B and residual-doublet sensitivities. d, Conditional odds ratios after each of 90 primary sample deletions; the horizontal line is the full estimate. The flare contrast was secondary and did not pass the prespecified three-contrast correction.</w:t>
      </w:r>
    </w:p>
    <w:p>
      <w:pPr>
        <w:pStyle w:val="Heading2"/>
        <w:spacing w:before="120" w:after="40"/>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prespecified B_CONV programs in the primary contrast. b, IFN/ISG estimates across support thresholds, residual-risk restriction, internal replication, donor-nonoverlap internal replication and the secondary flare contrast. c, Gene-level log2 fold changes for the prespecified IFN positive arm in the primary and donor-nonoverlap contrasts. A dagger marks genes not tested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program q values use the prespecified four-program family.</w:t>
      </w:r>
    </w:p>
    <w:p>
      <w:pPr>
        <w:pStyle w:val="Heading2"/>
        <w:spacing w:before="120" w:after="40"/>
      </w:pPr>
      <w:r>
        <w:rPr>
          <w:rFonts w:ascii="Times New Roman" w:hAnsi="Times New Roman" w:eastAsia="Times New Roman"/>
          <w:color w:val="1F1F1F"/>
          <w:sz w:val="24"/>
        </w:rPr>
        <w:t>Figure 4 | GSE135779 provides source-label-defined replication of the IFN/ISG program</w:t>
      </w:r>
    </w:p>
    <w:p>
      <w:pPr>
        <w:widowControl/>
      </w:pPr>
      <w:r>
        <w:rPr>
          <w:rFonts w:ascii="Times New Roman" w:hAnsi="Times New Roman" w:eastAsia="Times New Roman"/>
          <w:color w:val="1F1F1F"/>
          <w:sz w:val="24"/>
        </w:rPr>
        <w:t>a, Standardized IFN/ISG effects for childhood, combined, adult and support-threshold GSE135779 analyses. b, GSE174188 discovery/internal effects beside source-label-defined GSE135779 effects. c, Effects for 4,410 shared tested genes; all ten IFN genes were positive despite genome-wide Spearman rho=0.026. d, Required corrected elastic-net calibration, displayed as observed minus criterion. Coverage and B_CONV precision passed; B_ASC precision was 0.885 (&lt;0.90), so no corrected external disease effect was estimated. Dashed line, criterion equality. Supplementary Figs. S7/S8 retain full influence/remapping diagnostics. Donors are biological units; the adult estimate is directional only.</w:t>
      </w:r>
    </w:p>
    <w:p>
      <w:pPr>
        <w:pStyle w:val="Heading2"/>
        <w:spacing w:before="120" w:after="40"/>
      </w:pPr>
      <w:r>
        <w:rPr>
          <w:rFonts w:ascii="Times New Roman" w:hAnsi="Times New Roman" w:eastAsia="Times New Roman"/>
          <w:color w:val="1F1F1F"/>
          <w:sz w:val="24"/>
        </w:rPr>
        <w:t>Figure 5 | Convergent observational evidence supports an IFN-centred regulatory context</w:t>
      </w:r>
    </w:p>
    <w:p>
      <w:pPr>
        <w:widowControl/>
      </w:pPr>
      <w:r>
        <w:rPr>
          <w:rFonts w:ascii="Times New Roman" w:hAnsi="Times New Roman" w:eastAsia="Times New Roman"/>
          <w:color w:val="1F1F1F"/>
          <w:sz w:val="24"/>
        </w:rPr>
        <w:t>a, Evidence classes and interpretive roles. ULM STAT1/STAT2 is confirmatory observational evidence across three contrasts; M5911 and GSE23307 provide response-set and descriptive perturbational context, respectively. None establishes causality, direct binding or a unique upstream stimulus. b, Core STAT1/STAT2 and extended IRF7/IRF9 CollecTRI slopes across discovery, donor-nonoverlap and childhood contrasts. c, Prespecified proliferation comparators; asterisks, global 24-test q&lt;0.05. d, Post-freeze ULM sensitivity after removal of the 12-gene IFN/ISG arm or 97-gene M5911 set (95% CIs). Discovery STAT2 crossed zero only after M5911 removal; full ULM/CAMERA/FRY results are in Supplementary Fig. S10 and Supplementary Table S4b. e, Paired log2(x+1) effects for the 12-gene IFN arm in two IFN-beta-exposed donors; lines link identical genes, all effects were positive and no P value was calculated (n=2).</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less stable B-cell state assignments in systemic lupus erythematosus</dc:title>
  <dc:subject>Scientific-presentation final cross-document freeze</dc:subject>
  <dc:creator>Zhi Chen; Teng Qi</dc:creator>
  <cp:keywords>SLE; B cells; single-cell RNA sequencing; interferon</cp:keywords>
  <dc:description>Discussion landing synchronized with identity, transfer and mechanistic limits; no estimate, figure or Source Data change.</dc:description>
  <cp:lastModifiedBy/>
  <cp:revision>1</cp:revision>
  <dcterms:created xsi:type="dcterms:W3CDTF">2013-12-23T23:15:00Z</dcterms:created>
  <dcterms:modified xsi:type="dcterms:W3CDTF">2013-12-23T23:15:00Z</dcterms:modified>
  <cp:category/>
</cp:coreProperties>
</file>