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color w:val="1F1F1F"/>
          <w:sz w:val="32"/>
        </w:rPr>
        <w:t>Supplementary information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Disease-blind reconstruction distinguishes reproducible interferon remodeling from less stable B-cell state assignments in systemic lupus erythematosus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Authors:</w:t>
      </w:r>
      <w:r>
        <w:rPr>
          <w:rFonts w:ascii="Times New Roman" w:hAnsi="Times New Roman" w:eastAsia="Times New Roman"/>
          <w:color w:val="1F1F1F"/>
          <w:sz w:val="21"/>
        </w:rPr>
        <w:t xml:space="preserve"> Zhi Chen and Teng Qi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overview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This single Supplementary Information file contains Tables S1-S9 and Figures S1-S10 supporting the main Article. All analytical methods required to interpret the work are reported in the main manuscript. Machine-readable figure source data, regulator sensitivity results and complete statistical outputs are supplied separately as Supplementary Data 1-3. Original external-mapping sensitivity outcomes are superseded, and no corrected disease effect was estimated after calibration failed.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S1 | Dataset roles and inferential units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1700"/>
        <w:gridCol w:w="2100"/>
        <w:gridCol w:w="3960"/>
      </w:tblGrid>
      <w:tr>
        <w:trPr>
          <w:cantSplit/>
          <w:tblHeader w:val="true"/>
        </w:trPr>
        <w:tc>
          <w:tcPr>
            <w:tcW w:type="dxa" w:w="16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Resource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Role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Biological unit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Active scope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and internal replication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Sample-cohort stratum; donor sensitivities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scaffold, composition and B_CONV transcription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Independent SLE replication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conventional-B analogue; childhood primary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CollecTRI/OmniPath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Curated regulator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Prespecified eight-regulator, three-contrast family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MSigDB M5911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response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Hallmark interferon-alpha response enrichment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perturbation support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Paired profile within 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Descriptive IFN-beta response, n=2 donors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S2 | Claim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Supported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Not supported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 with quantified boundary sensitivity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Universally reproducible B_CONV/B_ASC taxonomy or stable hard naive, memory or atypical subtypes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contrast lacks statistical support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General B_ASC expansion in SLE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Replicated IFN/ISG remodeling within B_CONV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Genome-wide shared disease transcriptome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 STAT1/STAT2 activity concordant across three contrasts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Causal TF activation or direct binding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IFN-centred response evidence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 unique initiating IFN ligand in SLE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S3 | Quantitative anchors and prespecified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570"/>
        <w:gridCol w:w="5790"/>
      </w:tblGrid>
      <w:tr>
        <w:trPr>
          <w:cantSplit/>
          <w:tblHeader w:val="true"/>
        </w:trPr>
        <w:tc>
          <w:tcPr>
            <w:tcW w:type="dxa" w:w="357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Analysis</w:t>
            </w:r>
          </w:p>
        </w:tc>
        <w:tc>
          <w:tcPr>
            <w:tcW w:type="dxa" w:w="579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Result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Frozen-representation identity policy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mapped ARI 0.990; minimum agreement 0.9998; minimum state-median Jaccard 0.991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sensitivity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prespecified criterion not met; minimum mapped ARI 0.930; minimum agreement 0.9988; B_ASC median Jaccard 0.930 below 0.95 criterion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Boundary propagation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odds-ratio range 0.896-0.967, all intervals include one; primary B_CONV IFN/ISG range 0.836-0.845, all intervals above zero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composition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43 controls and 47 source-defined managed SLE; odds ratio 0.947; 95% CI 0.636-1.410; P=0.787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primary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0.837; 95% CI 0.525-1.148;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donor-nonoverlap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1.086; q=3.61 x 10^-4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 childhood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1.042; 95% CI 0.681-1.402;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Cross-dataset genome-wide agreement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4,410 genes; Spearman rho=0.026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 enrichment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NES 3.187, 3.050 and 3.527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 perturbation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 effects 3.294 and 3.666; 12/12 genes positive in each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S4 | Correlation-aware core-regulator sensitivity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1100"/>
        <w:gridCol w:w="1350"/>
        <w:gridCol w:w="2100"/>
        <w:gridCol w:w="1250"/>
        <w:gridCol w:w="1160"/>
      </w:tblGrid>
      <w:tr>
        <w:trPr>
          <w:cantSplit/>
          <w:tblHeader w:val="true"/>
        </w:trPr>
        <w:tc>
          <w:tcPr>
            <w:tcW w:type="dxa" w:w="2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Contrast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Regulator</w:t>
            </w:r>
          </w:p>
        </w:tc>
        <w:tc>
          <w:tcPr>
            <w:tcW w:type="dxa" w:w="1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Matched targets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Inter-gene correlation</w:t>
            </w:r>
          </w:p>
        </w:tc>
        <w:tc>
          <w:tcPr>
            <w:tcW w:type="dxa" w:w="12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CAMERA BH q</w:t>
            </w:r>
          </w:p>
        </w:tc>
        <w:tc>
          <w:tcPr>
            <w:tcW w:type="dxa" w:w="11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FRY BH q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98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0.0362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6.043e-06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14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0.1225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0.1355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4.909e-05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129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0.0209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8.49e-06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0.1191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4.277e-07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161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2.685e-05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20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0.1223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0.03026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1.231e-05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CAMERA and FRY directions were positive in all six tests. CAMERA passed BH correction in five of six; the explicit exception was GSE174188 primary STAT2 (q=0.1355). FRY passed BH correction in all six.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S4B | IFN-overlap-depletion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00"/>
        <w:gridCol w:w="1300"/>
        <w:gridCol w:w="1200"/>
        <w:gridCol w:w="1400"/>
        <w:gridCol w:w="3460"/>
      </w:tblGrid>
      <w:tr>
        <w:trPr>
          <w:cantSplit/>
          <w:tblHeader w:val="true"/>
        </w:trPr>
        <w:tc>
          <w:tcPr>
            <w:tcW w:type="dxa" w:w="20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Depletion</w:t>
            </w:r>
          </w:p>
        </w:tc>
        <w:tc>
          <w:tcPr>
            <w:tcW w:type="dxa" w:w="13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Method</w:t>
            </w:r>
          </w:p>
        </w:tc>
        <w:tc>
          <w:tcPr>
            <w:tcW w:type="dxa" w:w="12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Positive direction</w:t>
            </w:r>
          </w:p>
        </w:tc>
        <w:tc>
          <w:tcPr>
            <w:tcW w:type="dxa" w:w="1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Dedicated q&lt;0.05</w:t>
            </w:r>
          </w:p>
        </w:tc>
        <w:tc>
          <w:tcPr>
            <w:tcW w:type="dxa" w:w="34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Main qualification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slope retention 53.5%; all 95% confidence intervals above zero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q=0.326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Direction and corrected support retained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retained 8/14 targets; slope 0.391, 95% CI -0.745 to 1.526; q=0.500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attenuation across contrasts; discovery STAT2 q=0.623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q=0.099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All 11 depleted ULM models retaining at least ten targets preserved direction in every leave-one-target analysis. These sensitivities support robustness beyond the narrow 12-gene arm but not independence from the broader interferon-response transcriptome.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S5 | Main-figure source-data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12"/>
        <w:gridCol w:w="4529"/>
        <w:gridCol w:w="3019"/>
      </w:tblGrid>
      <w:tr>
        <w:trPr>
          <w:cantSplit/>
          <w:tblHeader w:val="true"/>
        </w:trPr>
        <w:tc>
          <w:tcPr>
            <w:tcW w:type="dxa" w:w="1812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Figure</w:t>
            </w:r>
          </w:p>
        </w:tc>
        <w:tc>
          <w:tcPr>
            <w:tcW w:type="dxa" w:w="452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Evidence basis</w:t>
            </w:r>
          </w:p>
        </w:tc>
        <w:tc>
          <w:tcPr>
            <w:tcW w:type="dxa" w:w="301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Machine-readable source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1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identity stability and two-compartment adjudication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Figure1_source_data.csv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2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Sample-level composition and asserted 43/47 primary groups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Figure2_source_data.csv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3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Raw-count pseudobulk transcription with explicit tested-gene symbols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Figure3_source_data.csv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4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Source-label-defined GSE135779 replication and influence analyses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Figure4_source_data.csv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5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 and orthogonal response evidence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Figure5_source_data.csv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S8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STAT1/STAT2 IFN-overlap-depletion sensitivity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Supplementary_Figure_S8_source_data.csv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S9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boundary and downstream propagation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Supplementary_Figure_S9_source_data.csv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S10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reference calibration and unresolved external transfer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Supplementary_Figure_S10_source_data.csv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S6 | Reproducibility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960"/>
        <w:gridCol w:w="5400"/>
      </w:tblGrid>
      <w:tr>
        <w:trPr>
          <w:cantSplit/>
          <w:tblHeader w:val="true"/>
        </w:trPr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5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Reader-accessible record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Main and supplementary figure data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1 with SHA-256 manifest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statistical results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3 with 12 gene-level branches and 12 sanitized design matrices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Correlation-aware sensitivity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2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and boundary propagation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Supplementary Data 3,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identity_robustness/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Analysis code and decisions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1F1F1F"/>
                <w:sz w:val="18"/>
              </w:rPr>
              <w:t>https://github.com/1209433622cz-maker/sle-bcell-remodeling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Environment reconstruction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Pinned scientific and release environments documented in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REPRODUCIBILITY.md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Version-specific archive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Zenodo https://doi.org/10.5281/zenodo.22151739; version-specific archive of the released analysis code, Source Data and statistical outputs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S7 | Statistical tests and multiplicity families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191"/>
        <w:gridCol w:w="2042"/>
        <w:gridCol w:w="1804"/>
        <w:gridCol w:w="1498"/>
        <w:gridCol w:w="1668"/>
        <w:gridCol w:w="1157"/>
      </w:tblGrid>
      <w:tr>
        <w:trPr>
          <w:cantSplit/>
          <w:tblHeader w:val="true"/>
        </w:trPr>
        <w:tc>
          <w:tcPr>
            <w:tcW w:type="dxa" w:w="1191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Result family</w:t>
            </w:r>
          </w:p>
        </w:tc>
        <w:tc>
          <w:tcPr>
            <w:tcW w:type="dxa" w:w="2042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Biological unit</w:t>
            </w:r>
          </w:p>
        </w:tc>
        <w:tc>
          <w:tcPr>
            <w:tcW w:type="dxa" w:w="1804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Test or estimator</w:t>
            </w:r>
          </w:p>
        </w:tc>
        <w:tc>
          <w:tcPr>
            <w:tcW w:type="dxa" w:w="1498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Sidedness</w:t>
            </w:r>
          </w:p>
        </w:tc>
        <w:tc>
          <w:tcPr>
            <w:tcW w:type="dxa" w:w="1668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Multiplicity</w:t>
            </w:r>
          </w:p>
        </w:tc>
        <w:tc>
          <w:tcPr>
            <w:tcW w:type="dxa" w:w="115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Role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B_ASC composition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Beta-binomial Wald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three frozen base contrasts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Primary composition inference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expression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pseudobulk (GSE174188); donor pseudobulk (GSE135779)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edgeR robust quasi-likelihood F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within tested genes per contrast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inference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Four frozen programs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pseudobulk (GSE174188); donor pseudobulk (GSE135779)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OLS with HC3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four programs per analysis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Program inference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TF-target activity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Signed-target slope t test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Global BH across 24 tests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Confirmatory regulatory evidence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sensitivity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CAMERA and FRY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families of six per method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Correlation-aware sensitivity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overlap depletion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 and pseudobulk counts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ULM, CAMERA and FRY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ULM; positive-direction CAMERA/FRY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family of six per branch and method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Post-freeze sensitivity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End-to-end identity reproducibility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Cell resample within technical library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ARI, AMI, mapping agreement, state Jaccard and recall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Five unchanged threshold criteria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Disease-blind robustness boundary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Broad-state boundary propagation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Frozen beta-binomial and TMM logCPM/HC3 models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intervals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 new multiplicity family; same-data sensitivity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Assignment-uncertainty sensitivity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M5911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10,000-permutation preranked test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BH across three contrasts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Orthogonal support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GSE23307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Paired donor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Mean paired log2(x+1) effect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None; n=2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perturbation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S8 | Full statistical-results archive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350"/>
        <w:gridCol w:w="4900"/>
        <w:gridCol w:w="1110"/>
      </w:tblGrid>
      <w:tr>
        <w:trPr>
          <w:cantSplit/>
          <w:tblHeader w:val="true"/>
        </w:trPr>
        <w:tc>
          <w:tcPr>
            <w:tcW w:type="dxa" w:w="3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Directory</w:t>
            </w:r>
          </w:p>
        </w:tc>
        <w:tc>
          <w:tcPr>
            <w:tcW w:type="dxa" w:w="49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Contents</w:t>
            </w:r>
          </w:p>
        </w:tc>
        <w:tc>
          <w:tcPr>
            <w:tcW w:type="dxa" w:w="111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Files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gene_level_results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filterByExpr gene results for GSE174188 and GSE135779 branches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sanitized_design_matrices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Direct-identifier-free analysis designs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composition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coefficients, contrasts, predictions, sensitivities, leave-one-out and diagnostics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transcription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Program, ranked-list, influence and concordance results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regulatory_and_orthogonal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ULM, target influence, CAMERA/FRY, M5911 and GSE23307 summaries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statistical_framework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Machine-readable test and multiplicity map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identity_robustness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Aggregate and replicate-level end-to-end identity metrics, boundary propagation results and integrity records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101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external_mapping_calibration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feature and parameter tables, full confidence-calibration family, aggregate selection diagnostics, provenance, arithmetic recount and publication boundary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20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S9 | Reference-calibrated external mapping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06"/>
        <w:gridCol w:w="3577"/>
        <w:gridCol w:w="3577"/>
      </w:tblGrid>
      <w:tr>
        <w:trPr>
          <w:cantSplit/>
          <w:tblHeader w:val="true"/>
        </w:trPr>
        <w:tc>
          <w:tcPr>
            <w:tcW w:type="dxa" w:w="2206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Corrected diagnostic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Interpretation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input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56 matrices; 363,083 cells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source matrix coverage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QC and selection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353,527 QC-passing cells; 36,630 B-lineage candidates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source labels or disease fields parsed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Reference training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13,000 B_CONV and 1,300 B_ASC; 258 donors; 601 features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Both algorithms share reference and features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Normalization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Full-library log1p(CP10K) before feature subsetting in both datasets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Corrects reference feature-only denominator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Elastic-net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Diagnostic threshold 0.95; coverage 0.941958; B_CONV precision 0.996450; B_ASC precision 0.885210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eligible candidate: state precision must be at least 0.90 and coverage at least 0.80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Centroid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Margin 0.117767; coverage 0.95; B_CONV precision 0.992374; B_ASC precision 1.0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Eligible, but cannot replace required primary mapper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Mean reference-fold balanced accuracy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 net 0.960569; centroid 0.950293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Calibration diagnostics; not independent performance estimates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Outcome policy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disease outcomes not estimated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corrected effect, confidence interval, P or q value exists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Prior outcome exposure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Original sensitivity outcomes were known before correction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Post-outcome correction; not prospective validation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Evidence boundary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GSE135779 replication remains source-label-defined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Superseded uncorrected outcomes excluded from supporting evidence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Full candidate calibration, donor-grouped cross-validation, reference normalization audit and corrected input/prediction hashes are retained with the analysis code. The original source-label-defined pseudobulk effect is a standardized HC3 model estimate; the unexecuted sensitivity would instead compare donor mean cell-level log1p(CP10K) scores. They are different estimands and must not be compared as effect attenuation. No new multiplicity family was evaluated after corrected calibration failed.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 | Source integrity and hard-quality-control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Hard-QC failure fractions by processing cohort and disease group.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Residual-risk call fraction versus cells per library, coloured by the library median score.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Percent and exact number of retained risk-negative cells and sensitivity-only residual-risk calls among 150,402 hard-QC B-lineage cells.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Median, 95th-percentile and threshold residual-risk scores for all 88 libraries.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17081"/>
            <wp:docPr id="1" name="Picture 1" title="Supplementary Figure S1" descr="Supplementary Figure S1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_source_integrity_q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17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S2 | Representation and bridge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Same-group neighbourhood concentration before and after Harmony adjustment.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Cross-cohort bridge-pair cosine-distance distributions.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Disease-blind branch concordance across Leiden resolutions for residual-risk-negative and strong-ISG-excluded branches; the vertical guide marks the primary resolution.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Biological marker-module localization across the five fine clusters considered before stability adjudication.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2" name="Picture 2" title="Supplementary Figure S2" descr="Supplementary Figure S2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2_representation_diagno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S3 | Fine-state failure and transition structure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minimum cluster Jaccard values localize instability to fine-state membership across the five-, four- and three-state policies considered before broad adjudication.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Mean transition matrix from original resolution-0.4 clusters to mapped reference clusters across frozen-representation resamples. These diagnostics explain the transition to the broad B_CONV/B_ASC analysis scaffold; broad-state pass criteria are shown in Fig. 1 and end-to-end reconstruction is shown in Supplementary Fig. S9. Highly variable genes, principal components and Harmony coordinates were not recomputed in this figure.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37205"/>
            <wp:docPr id="3" name="Picture 3" title="Supplementary Figure S3" descr="Supplementary Figure S3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3_fine_state_failure_transition_stru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37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S4 | Composition-model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Total and zero-ASC sample-cohort strata in the three base contrasts.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odds ratios under support, explicit non-B and residual-risk policies using observed-information and HC1 covariance.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Firth-logistic ASC-presence sensitivity.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Positive-only abundance sensitivity using HC3 uncertainty. Panels c-d use logarithmic ratio axes with the null fixed at one; the two-part models are sensitivity analyses and do not replace the frozen beta-binomial primary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4" name="Picture 4" title="Supplementary Figure S4" descr="Supplementary Figure S4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4_composition_diagnost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S5 | Pseudobulk and ranked-list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Numbers of filterByExpr-tested and BH-significant genes across seven GSE174188 branches.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Common and median tagwise edgeR dispersions.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Mitochondrial, ribosomal, haemoglobin and immunoglobulin fractions among increasingly long primary ranked lists. IFN/ISG estimates across the frozen GSE174188 branches are owned by Fig. 3b and are not repeated here.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51835"/>
            <wp:docPr id="5" name="Picture 5" title="Supplementary Figure S5" descr="Supplementary Figure S5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5_pseudobulk_ranked_list_diagnost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S6 | GSE135779 replication and robustness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Control and SLE donor counts across the five GSE135779 models.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Four-program childhood estimates.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Childhood IFN/ISG estimates after omission of each source B-cell label.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Full childhood program effects and ranges across donor-deletion analyses.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381946"/>
            <wp:docPr id="6" name="Picture 6" title="Supplementary Figure S6" descr="Supplementary Figure S6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6_replication_robustness_diagnos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S7 | Correlation-aware regulator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CAMERA and FRY six-test BH concordance for STAT1 and STAT2. Dashed guides indicate q=0.05.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CAMERA residual-estimated inter-gene correlations.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CAMERA and FRY BH q values.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Matched signed-target counts, which equal the frozen ULM family (STAT1: 98, 129 and 161; STAT2: 14, 19 and 20).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7" name="Picture 7" title="Supplementary Figure S7" descr="Supplementary Figure S7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7_regulator_correlation_sensitiv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S8 | STAT1/STAT2 IFN-overlap-depletion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ULM slopes and 95% confidence intervals after removal of the frozen 12-gene IFN/ISG positive arm.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Corresponding estimates after removal of all 97 M5911 genes; discovery STAT2 retains eight targets and its interval crosses zero. Labels report remaining matched targets.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branch- and method-specific Benjamini-Hochberg q values across the six regulator-by-contrast tests.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Percentage of frozen matched targets retained after each depletion. All method-level directions remain positive, but M5911 depletion produces substantial attenuation and does not support an overlap-independent interpretation.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294490"/>
            <wp:docPr id="8" name="Picture 8" title="Supplementary Figure S8" descr="Supplementary Figure S8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8_overlap_deple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94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S9 | End-to-end reconstruction exposes a B_ASC-specific boundary without changing the disease conclusions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Observed values and prespecified criteria for five end-to-end two-compartment checks; four met their criteria and minimum state-median Jaccard did not.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State Jaccard across 20 complete reconstruction replicates localizes the unmet overlap criterion to B_ASC, while B_CONV remains above 0.95.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Counts of sampled cells exchanged across the B_CONV/B_ASC boundary.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composition odds ratios and 95% confidence intervals after each observed boundary exchange; the dashed guide marks one and the orange line marks the frozen estimate. </w:t>
      </w:r>
      <w:r>
        <w:rPr>
          <w:rFonts w:ascii="Times New Roman" w:hAnsi="Times New Roman" w:eastAsia="Times New Roman"/>
          <w:b/>
          <w:color w:val="1F1F1F"/>
          <w:sz w:val="21"/>
        </w:rPr>
        <w:t>e,</w:t>
      </w:r>
      <w:r>
        <w:rPr>
          <w:rFonts w:ascii="Times New Roman" w:hAnsi="Times New Roman" w:eastAsia="Times New Roman"/>
          <w:color w:val="1F1F1F"/>
          <w:sz w:val="21"/>
        </w:rPr>
        <w:t xml:space="preserve"> Primary and donor-nonoverlap B_CONV IFN/ISG effects after boundary-cell raw counts were propagated through frozen TMM logCPM and HC3 models; dotted lines mark the frozen effects. All propagation analyses reuse GSE174188 and quantify assignment sensitivity rather than independent replication.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465140"/>
            <wp:docPr id="9" name="Picture 9" title="Supplementary Figure S9" descr="Supplementary Figure S9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9_identity_boundary_and_propag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65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S10 | Reference calibration limits source-label-independent external transfer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interquartile range of full-library divided by selected-feature counts among 13,000 B_CONV and 1,300 B_ASC reference training cells. This ratio quantifies the legacy pre-log scaling discrepancy; corrected mapping uses full-library denominators in both datasets.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Per-state precision at the diagnostic elastic-net and eligible centroid thresholds. Mapper colour is held constant across panels b-d, marker shape distinguishes B_CONV from B_ASC, and the dashed line is the unchanged 0.90 state-precision criterion.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Reference-cell coverage at those thresholds; the dashed line is the unchanged 0.80 criterion.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Balanced accuracy in each of five donor-grouped reference calibration folds; black horizontal bars show fold means. No eligibility guide is drawn because balanced accuracy is diagnostic only. These folds select model and threshold parameters, not independent performance estimates. The elastic-net B_ASC precision failure prevents outcome access; centroid success is not a replacement analysis. No corrected external disease result is shown.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93"/>
            <wp:docPr id="10" name="Picture 10" title="Supplementary Figure S10" descr="Supplementary Figure S10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0_reference_calibration_bound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Times New Roman" w:hAnsi="Times New Roman" w:eastAsia="Times New Roman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F1F1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spacing w:after="60" w:lineRule="auto" w:line="276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</dc:title>
  <dc:subject>S3/S5 source-redraw and reader-path scientific refreeze</dc:subject>
  <dc:creator>Zhi Chen; Teng Qi</dc:creator>
  <cp:keywords>SLE; B cells; single-cell RNA sequencing; interferon</cp:keywords>
  <dc:description>Integrated-reader display prune; S3 and S5 redrawn from byte-identical frozen Source Data; removed 1 redundant table spacers before manual page breaks.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