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1a-d).</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S4).</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S5).</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4c,d).</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Supplementary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S7).</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(Supplementary Fig. S8).</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 (Fig. 5d,e).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Inference workflow and identity scope. Disease-blind identity stress tests defined B_CONV/B_ASC as an analysis scaffold. Disease fields were joined only after identity adjudication; B_ASC composition and B_CONV transcription were then analysed at the sample-cohort stratum. Hard fine-state assignments were not used for disease inference. b, Median mapped adjusted Rand index and minimum-to-median interval for candidate identity policies across 20 within-library resamples of the fixed 50-dimensional Harmony representation; the dashed segment marks the two-compartment minimum-ARI criterion of 0.90. c, Mapped adjusted Rand index and mapping agreement for each two-compartment resample; the dashed guide marks the 0.990 minimum-agreement criterion. d, Minimum and median state Jaccard indices for B_CONV and B_ASC with B_ASC marker support; the dashed guide marks the 0.95 state-median criterion. Panels b-d hold the representation fixed; end-to-end reconstruction is shown in Supplementary Fig. S9. Cell-level stability metrics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Standardized GSE174188 discovery/internal effects beside source-label-defined GSE135779 effects. c, Effects for 4,410 genes tested in both primary datasets, highlighting the ten jointly tested IFN genes; all ten were positive despite genome-wide Spearman rho=0.026. d, Full childhood estimate, range across 43 donor deletions and estimates after omission of each of eight source B-cell labels. Display labels 1-8 map to the source codes in Figure 4 Source Data. Donors are the biological units; the adult estimate is directional only.</w:t>
      </w:r>
    </w:p>
    <w:p>
      <w:pPr>
        <w:pStyle w:val="Heading2"/>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for the replicated IFN/ISG program. ULM STAT1/STAT2 provides confirmatory observational evidence across three contrasts, M5911 provides response-set concordance and GSE23307 provides descriptive IFN-beta perturbational context. These layers show observational convergence but do not establish a causal regulator, direct binding or a unique upstream stimulus. b, Core STAT1/STAT2 and extended IRF7/IRF9 CollecTRI activity slopes in the GSE174188 primary, GSE174188 donor-nonoverlap and GSE135779 childhood contrasts. c, Prespecified E2F1, FOXM1, MYC and MYBL2 proliferation comparators; asterisks denote global 24-test q&lt;0.05. d, M5911 Hallmark interferon-alpha response normalized enrichment scores from 10,000 gene-label permutations per contrast. e, Paired log2(x+1) effects for the 12-gene IFN positive arm in two IFN-beta-exposed healthy donors; same-gene points are connected for display only, all 24 effects were positive and no inferential P value was calculated at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Reference and evidence-terminology scientific refreeze</dc:subject>
  <dc:creator>Zhi Chen; Teng Qi</dc:creator>
  <cp:keywords>SLE; B cells; single-cell RNA sequencing; interferon</cp:keywords>
  <dc:description>Reference, evidence-terminology and Supplementary Figure S6 scientific refreeze; removed 0 redundant table spacers before manual page breaks.</dc:description>
  <cp:lastModifiedBy/>
  <cp:revision>1</cp:revision>
  <dcterms:created xsi:type="dcterms:W3CDTF">2013-12-23T23:15:00Z</dcterms:created>
  <dcterms:modified xsi:type="dcterms:W3CDTF">2013-12-23T23:15:00Z</dcterms:modified>
  <cp:category/>
</cp:coreProperties>
</file>