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unstable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Null primary B_ASC relative-abundance result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Convergent STAT1/STAT2 target activity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Frozen quantitative anchors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Frozen 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formal HOLD;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GSE135779 validation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matches the frozen manuscript, figures and statistical outputs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65"/>
        <w:gridCol w:w="1590"/>
        <w:gridCol w:w="1915"/>
        <w:gridCol w:w="1590"/>
        <w:gridCol w:w="1771"/>
        <w:gridCol w:w="1229"/>
      </w:tblGrid>
      <w:tr>
        <w:trPr>
          <w:cantSplit/>
          <w:tblHeader w:val="true"/>
        </w:trPr>
        <w:tc>
          <w:tcPr>
            <w:tcW w:type="dxa" w:w="126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91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77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2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Technical correction, not new prospective preregistration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Publication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C9 PASS and effect estimates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source-label-based pseudobulk effect is a standardized HC3 model estimate; the unexecuted sensitivity would instead compare donor mean cell-level log1p(CP10K) scores. They are different estimands and must not be compared as effect attenuation. No new multiplicity family was evaluated after the calibration HOLD.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Independent-validation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external_validation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343737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34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unchanged criteria for the five formal end-to-end two-compartment checks; four passed and minimum state-median Jaccard produced HOLD.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shows that the formal failure is localized to B_ASC, while B_CONV remains above the 0.95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source-label-agnostic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thresholds; the dashed line is the unchanged 0.90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Disease-blind reconstruction distinguishes reproducible interferon remodeling from unstable B-cell state assignments in systemic lupus erythematosus</dc:subject>
  <dc:creator>Zhi Chen; Teng Qi</dc:creator>
  <cp:keywords>SLE; B cells; single-cell RNA sequencing; interferon</cp:keywords>
  <dc:description>Generated reproducibly from the npj SBA target-refrozen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