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Main-figure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GSE135779 validation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matches the frozen manuscript, figures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65"/>
        <w:gridCol w:w="1590"/>
        <w:gridCol w:w="1915"/>
        <w:gridCol w:w="1590"/>
        <w:gridCol w:w="1771"/>
        <w:gridCol w:w="1229"/>
      </w:tblGrid>
      <w:tr>
        <w:trPr>
          <w:cantSplit/>
          <w:tblHeader w:val="true"/>
        </w:trPr>
        <w:tc>
          <w:tcPr>
            <w:tcW w:type="dxa" w:w="126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91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77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2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source-label-based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Disease-blind identity adjudication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worst-case mapped ARI for five-, four-, three- and two-level policies across frozen-representation resamples.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show localization of failure to fine-state membership.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Minimum-to-median Jaccard intervals for the B_CONV and B_ASC analysis states across 20 frozen-representation resamples.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identity_adjud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IFN/ISG effects and 95% confidence intervals across frozen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Independent-validation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external_validation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Scientific-presentation supplementary information candidate</dc:subject>
  <dc:creator>Zhi Chen; Teng Qi</dc:creator>
  <cp:keywords>SLE; B cells; single-cell RNA sequencing; interferon</cp:keywords>
  <dc:description>Scientific-presentation candidate regenerated from repository sources; the author-confirmed exact submission package remains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