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unstable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yet propagation of observed assignment exchanges preserved the primary composition null and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These results separate reproducible process-level interferon remodeling from less stable hard state assignments without establishing a universal B-cell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external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not a new B-cell taxonomy but a difference in reproducibility across biological layers. Fine-grained B-cell state assignments did not satisfy the prespecified stability criteria, and even the broad B_CONV/B_ASC partition failed one state-specific end-to-end criterion because B_ASC membership was less reproducible than the global partition metrics suggested. Retaining that failure changed the interpretation of the study: B_CONV/B_ASC is used as an analysis scaffold, not as a transferable taxonomy. Within that bounded scaffold, assignment uncertainty did not alter the primary B_ASC composition null or the positive B_CONV IFN/ISG effects. The supported result is a process-level interferon association within these inferential limits; neither a disease-defining cell-state label nor generalized B_ASC expansion was established.</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null primary comparison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cohort reproduced the frozen IFN/ISG program, donor-deletion and source-label-omission analyses retained the direction, and all ten jointly tested IFN genes were positive in both primary datasets. Yet the genome-wide effect correlation was only rho=0.026. These observations are not contradictory: a transcriptome-wide correlation asks whether thousands of gene effects agree across cohorts that differ in age structure, source annotation, processing, covariates and gene universe, whereas the program analysis asks whether a prespecified coherent biological response retains direction and statistical support. The data support the latter but do not establish the stronger claim of a globally shared disease transcriptome. Importantly, a corrected attempt to reconstruct the external mapping without source labels failed its prespecified B_ASC calibration criterion, and no corrected disease outcome was estimated. Independent replication therefore remains tied to the prespecified source-label-defined broad B-cell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primary composition null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validation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the permissible identity scope</w:t>
      </w:r>
    </w:p>
    <w:p>
      <w:pPr>
        <w:widowControl/>
      </w:pPr>
      <w:r>
        <w:rPr>
          <w:rFonts w:ascii="Times New Roman" w:hAnsi="Times New Roman" w:eastAsia="Times New Roman"/>
          <w:color w:val="1F1F1F"/>
          <w:sz w:val="24"/>
        </w:rPr>
        <w:t>a, Disease-blind workflow and identity scope. The GSE174188 B-lineage input was subjected to disease-blind resampling to define the permissible B_CONV/B_ASC scaffold shown in b-d. The scaffold was then separated into sample-level B_ASC composition and donor-aware B_CONV pseudobulk analyses. The diagram distinguishes the retained broad-compartment analyses from hard fine-state assignments, which were not retained for disease-effect inference. b, 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 c, Mapped adjusted Rand index and mapping agreement in each frozen-representation two-compartment graph resample; the dashed horizontal guide marks the minimum mapping-agreement criterion of 0.990. d, Minimum and median state Jaccard indices from the same frozen-representation analysis for B_CONV and B_ASC,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exactly 43 control and 47 managed-SLE sample-cohort strata in the primary composition contrast; diamonds and bars show adjusted fractions and 95% confidence intervals. b, Primary, internal, donor-nonoverlap and secondary flare conditional odds ratios. c, Frozen primary estimate and mandatory minimum-cell, explicit non-B and residual-doublet sensitivities. d, Conditional odds ratios after each of 90 primary sample deletions; the horizontal line is the full estimate. The flare contrast is secondary and did not pass the frozen three-contrast false-discovery-rate rule.</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frozen programs in the primary contrast. b, IFN/ISG estimates across primary support thresholds, residual-risk restriction, internal replication, donor-nonoverlap internal replication and the secondary flare contrast. c, 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confirmatory q values use the frozen four-program family.</w:t>
      </w:r>
    </w:p>
    <w:p>
      <w:pPr>
        <w:pStyle w:val="Heading2"/>
      </w:pPr>
      <w:r>
        <w:rPr>
          <w:rFonts w:ascii="Times New Roman" w:hAnsi="Times New Roman" w:eastAsia="Times New Roman"/>
          <w:color w:val="1F1F1F"/>
          <w:sz w:val="24"/>
        </w:rPr>
        <w:t>Figure 4 | GSE135779 provides source-label-defined replication of the frozen IFN/ISG program</w:t>
      </w:r>
    </w:p>
    <w:p>
      <w:pPr>
        <w:widowControl/>
      </w:pPr>
      <w:r>
        <w:rPr>
          <w:rFonts w:ascii="Times New Roman" w:hAnsi="Times New Roman" w:eastAsia="Times New Roman"/>
          <w:color w:val="1F1F1F"/>
          <w:sz w:val="24"/>
        </w:rPr>
        <w:t>a, Standardized IFN/ISG effects for childhood, combined, adult and support-threshold external analyses. b, Standardized discovery and internal GSE174188 effects beside source-label-defined independent GSE135779 effects. c, Effects for 4,410 genes tested in both primary datasets, with ten jointly tested frozen IFN genes highlighted; all ten were positive in both datasets despite Spearman rho=0.026 genome-wide. d, 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p>
      <w:pPr>
        <w:pStyle w:val="Heading2"/>
      </w:pPr>
      <w:r>
        <w:rPr>
          <w:rFonts w:ascii="Times New Roman" w:hAnsi="Times New Roman" w:eastAsia="Times New Roman"/>
          <w:color w:val="1F1F1F"/>
          <w:sz w:val="24"/>
        </w:rPr>
        <w:t>Figure 5 | Convergent observational evidence supports IFN-centred regulation</w:t>
      </w:r>
    </w:p>
    <w:p>
      <w:pPr>
        <w:widowControl/>
      </w:pPr>
      <w:r>
        <w:rPr>
          <w:rFonts w:ascii="Times New Roman" w:hAnsi="Times New Roman" w:eastAsia="Times New Roman"/>
          <w:color w:val="1F1F1F"/>
          <w:sz w:val="24"/>
        </w:rPr>
        <w:t>a, Quantitative summary of three evidence classes for the replicated IFN/ISG program. ULM STAT1/STAT2 activity was positive and passed the global 24-test q&lt;0.05 criterion in all six regulator-by-contrast tests; M5911 normalized enrichment scores exceeded 3.0 in all three contrasts; and all 12 frozen positive-arm genes increased in each of two IFN-beta-exposed donors. The regulator family provides confirmatory observational evidence, M5911 provides orthogonal response-set concordance and GSE23307 provides descriptive perturbational context. Together these layers support observational convergence but not a causal regulator, direct binding or a uniquely upstream ligand. b, Core STAT1/STAT2 and extended IRF7/IRF9 CollecTRI activity slopes in the GSE174188 primary, GSE174188 donor-nonoverlap and GSE135779 childhood contrasts. c, Prespecified E2F1, FOXM1, MYC and MYBL2 proliferation specificity comparators. Asterisks indicate global 24-test q&lt;0.05. d, M5911 Hallmark interferon-alpha response normalized enrichment scores from 10,000 gene-label permutations per contrast. e, Gene-level paired log2(x+1) effects for the 12-gene IFN positive arm after ex vivo IFN-beta exposure in primary B cells from each of two healthy donors. Points for the same gene are connected only to aid donor comparison; all 24 donor-gene effects were positive. The GSE23307 panel is descriptive at n=2 and carries no inferential P value.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unstable B-cell state assignments in systemic lupus erythematosus</dc:title>
  <dc:subject>Scientific-harmonization candidate guided by npj Systems Biology and Applications</dc:subject>
  <dc:creator>Zhi Chen; Teng Qi</dc:creator>
  <cp:keywords>SLE; B cells; single-cell RNA sequencing; interferon</cp:keywords>
  <dc:description>Generated reproducibly from the scientific-harmonization candidate; the exact submission package remains unchanged.</dc:description>
  <cp:lastModifiedBy/>
  <cp:revision>1</cp:revision>
  <dcterms:created xsi:type="dcterms:W3CDTF">2013-12-23T23:15:00Z</dcterms:created>
  <dcterms:modified xsi:type="dcterms:W3CDTF">2013-12-23T23:15:00Z</dcterms:modified>
  <cp:category/>
</cp:coreProperties>
</file>