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color w:val="1F1F1F"/>
          <w:sz w:val="32"/>
        </w:rPr>
        <w:t>Supplementary information</w:t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Disease-blind reconstruction distinguishes reproducible interferon remodeling from unstable B-cell state assignments in systemic lupus erythematosus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Authors:</w:t>
      </w:r>
      <w:r>
        <w:rPr>
          <w:rFonts w:ascii="Times New Roman" w:hAnsi="Times New Roman" w:eastAsia="Times New Roman"/>
          <w:color w:val="1F1F1F"/>
          <w:sz w:val="21"/>
        </w:rPr>
        <w:t xml:space="preserve"> Zhi Chen and Teng Qi</w:t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overview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This single Supplementary Information file contains Tables S1-S9 and Figures S1-S10 supporting the main Article. All analytical methods required to interpret the work are reported in the main manuscript. Machine-readable figure source data, regulator sensitivity results and complete statistical outputs are supplied separately as Supplementary Data 1-3. Original external-mapping sensitivity outcomes are superseded, and no corrected disease effect was estimated after calibration failed.</w:t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S1 | Dataset roles and inferential units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600"/>
        <w:gridCol w:w="1700"/>
        <w:gridCol w:w="2100"/>
        <w:gridCol w:w="3960"/>
      </w:tblGrid>
      <w:tr>
        <w:trPr>
          <w:cantSplit/>
          <w:tblHeader w:val="true"/>
        </w:trPr>
        <w:tc>
          <w:tcPr>
            <w:tcW w:type="dxa" w:w="16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Resource</w:t>
            </w:r>
          </w:p>
        </w:tc>
        <w:tc>
          <w:tcPr>
            <w:tcW w:type="dxa" w:w="17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Role</w:t>
            </w:r>
          </w:p>
        </w:tc>
        <w:tc>
          <w:tcPr>
            <w:tcW w:type="dxa" w:w="21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Biological unit</w:t>
            </w:r>
          </w:p>
        </w:tc>
        <w:tc>
          <w:tcPr>
            <w:tcW w:type="dxa" w:w="396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Active scope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GSE174188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Discovery and internal validation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Sample-cohort stratum; donor sensitivities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Disease-blind B_CONV/B_ASC analysis scaffold, composition and B_CONV transcription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GSE135779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Independent SLE validation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Donor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Broad conventional-B analog; childhood primary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CollecTRI/OmniPath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Curated regulator prior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Ranked genes within contrast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Prespecified eight-regulator, three-contrast family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MSigDB M5911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Orthogonal response prior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Ranked genes within contrast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Hallmark interferon-alpha response enrichment</w:t>
            </w:r>
          </w:p>
        </w:tc>
      </w:tr>
      <w:tr>
        <w:trPr>
          <w:cantSplit/>
        </w:trPr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GSE23307</w:t>
            </w:r>
          </w:p>
        </w:tc>
        <w:tc>
          <w:tcPr>
            <w:tcW w:type="dxa" w:w="17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Orthogonal perturbation support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Paired profile within donor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Descriptive IFN-beta response, n=2 donors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S2 | Claim boundaries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rPr>
          <w:cantSplit/>
          <w:tblHeader w:val="true"/>
        </w:trPr>
        <w:tc>
          <w:tcPr>
            <w:tcW w:type="dxa" w:w="468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Supported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Not supported</w:t>
            </w:r>
          </w:p>
        </w:tc>
      </w:tr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Disease-blind B_CONV/B_ASC analysis scaffold with quantified boundary sensitivity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Universally reproducible B_CONV/B_ASC taxonomy or stable hard naive, memory or atypical subtypes</w:t>
            </w:r>
          </w:p>
        </w:tc>
      </w:tr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Null primary B_ASC relative-abundance result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General B_ASC expansion in SLE</w:t>
            </w:r>
          </w:p>
        </w:tc>
      </w:tr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Replicated IFN/ISG remodeling within B_CONV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Genome-wide shared disease transcriptome</w:t>
            </w:r>
          </w:p>
        </w:tc>
      </w:tr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Convergent STAT1/STAT2 target activity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Causal TF activation or direct binding</w:t>
            </w:r>
          </w:p>
        </w:tc>
      </w:tr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IFN-centred response evidence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A unique initiating IFN ligand in SLE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S3 | Frozen quantitative anchors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570"/>
        <w:gridCol w:w="5790"/>
      </w:tblGrid>
      <w:tr>
        <w:trPr>
          <w:cantSplit/>
          <w:tblHeader w:val="true"/>
        </w:trPr>
        <w:tc>
          <w:tcPr>
            <w:tcW w:type="dxa" w:w="357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Analysis</w:t>
            </w:r>
          </w:p>
        </w:tc>
        <w:tc>
          <w:tcPr>
            <w:tcW w:type="dxa" w:w="579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Frozen result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Frozen-representation identity policy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minimum mapped ARI 0.990; minimum agreement 0.9998; minimum state-median Jaccard 0.991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End-to-end identity sensitivity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formal HOLD; minimum mapped ARI 0.930; minimum agreement 0.9988; B_ASC median Jaccard 0.930 below 0.95 criterion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Boundary propagation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primary B_ASC odds-ratio range 0.896-0.967, all intervals include one; primary B_CONV IFN/ISG range 0.836-0.845, all intervals above zero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Primary B_ASC composition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43 controls and 47 source-defined managed SLE; odds ratio 0.947; 95% CI 0.636-1.410; P=0.787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GSE174188 primary IFN/ISG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effect 0.837; 95% CI 0.525-1.148; q=2.98 x 10^-6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GSE174188 donor-nonoverlap IFN/ISG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effect 1.086; q=3.61 x 10^-4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GSE135779 childhood IFN/ISG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effect 1.042; 95% CI 0.681-1.402; q=2.98 x 10^-6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Cross-dataset genome-wide agreement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4,410 genes; Spearman rho=0.026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M5911 enrichment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NES 3.187, 3.050 and 3.527</w:t>
            </w:r>
          </w:p>
        </w:tc>
      </w:tr>
      <w:tr>
        <w:trPr>
          <w:cantSplit/>
        </w:trPr>
        <w:tc>
          <w:tcPr>
            <w:tcW w:type="dxa" w:w="357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GSE23307 perturbation</w:t>
            </w:r>
          </w:p>
        </w:tc>
        <w:tc>
          <w:tcPr>
            <w:tcW w:type="dxa" w:w="57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donor effects 3.294 and 3.666; 12/12 genes positive in each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S4 | Correlation-aware core-regulator sensitivity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400"/>
        <w:gridCol w:w="1100"/>
        <w:gridCol w:w="1350"/>
        <w:gridCol w:w="2100"/>
        <w:gridCol w:w="1250"/>
        <w:gridCol w:w="1160"/>
      </w:tblGrid>
      <w:tr>
        <w:trPr>
          <w:cantSplit/>
          <w:tblHeader w:val="true"/>
        </w:trPr>
        <w:tc>
          <w:tcPr>
            <w:tcW w:type="dxa" w:w="24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Contrast</w:t>
            </w:r>
          </w:p>
        </w:tc>
        <w:tc>
          <w:tcPr>
            <w:tcW w:type="dxa" w:w="11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Regulator</w:t>
            </w:r>
          </w:p>
        </w:tc>
        <w:tc>
          <w:tcPr>
            <w:tcW w:type="dxa" w:w="135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Matched targets</w:t>
            </w:r>
          </w:p>
        </w:tc>
        <w:tc>
          <w:tcPr>
            <w:tcW w:type="dxa" w:w="21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Inter-gene correlation</w:t>
            </w:r>
          </w:p>
        </w:tc>
        <w:tc>
          <w:tcPr>
            <w:tcW w:type="dxa" w:w="125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CAMERA BH q</w:t>
            </w:r>
          </w:p>
        </w:tc>
        <w:tc>
          <w:tcPr>
            <w:tcW w:type="dxa" w:w="116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FRY BH q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GSE174188 primary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STAT1</w:t>
            </w:r>
          </w:p>
        </w:tc>
        <w:tc>
          <w:tcPr>
            <w:tcW w:type="dxa" w:w="1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98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0.0362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0.0263</w:t>
            </w:r>
          </w:p>
        </w:tc>
        <w:tc>
          <w:tcPr>
            <w:tcW w:type="dxa" w:w="11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6.043e-06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GSE174188 primary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STAT2</w:t>
            </w:r>
          </w:p>
        </w:tc>
        <w:tc>
          <w:tcPr>
            <w:tcW w:type="dxa" w:w="1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14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0.1225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0.1355</w:t>
            </w:r>
          </w:p>
        </w:tc>
        <w:tc>
          <w:tcPr>
            <w:tcW w:type="dxa" w:w="11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4.909e-05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GSE174188 donor-nonoverlap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STAT1</w:t>
            </w:r>
          </w:p>
        </w:tc>
        <w:tc>
          <w:tcPr>
            <w:tcW w:type="dxa" w:w="1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129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0.0209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0.0263</w:t>
            </w:r>
          </w:p>
        </w:tc>
        <w:tc>
          <w:tcPr>
            <w:tcW w:type="dxa" w:w="11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8.49e-06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GSE174188 donor-nonoverlap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STAT2</w:t>
            </w:r>
          </w:p>
        </w:tc>
        <w:tc>
          <w:tcPr>
            <w:tcW w:type="dxa" w:w="1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19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0.1191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0.0263</w:t>
            </w:r>
          </w:p>
        </w:tc>
        <w:tc>
          <w:tcPr>
            <w:tcW w:type="dxa" w:w="11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4.277e-07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GSE135779 childhood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STAT1</w:t>
            </w:r>
          </w:p>
        </w:tc>
        <w:tc>
          <w:tcPr>
            <w:tcW w:type="dxa" w:w="1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161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0.0301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0.0263</w:t>
            </w:r>
          </w:p>
        </w:tc>
        <w:tc>
          <w:tcPr>
            <w:tcW w:type="dxa" w:w="11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2.685e-05</w:t>
            </w:r>
          </w:p>
        </w:tc>
      </w:tr>
      <w:tr>
        <w:trPr>
          <w:cantSplit/>
        </w:trP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GSE135779 childhood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STAT2</w:t>
            </w:r>
          </w:p>
        </w:tc>
        <w:tc>
          <w:tcPr>
            <w:tcW w:type="dxa" w:w="1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20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0.1223</w:t>
            </w:r>
          </w:p>
        </w:tc>
        <w:tc>
          <w:tcPr>
            <w:tcW w:type="dxa" w:w="12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0.03026</w:t>
            </w:r>
          </w:p>
        </w:tc>
        <w:tc>
          <w:tcPr>
            <w:tcW w:type="dxa" w:w="11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1.231e-05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CAMERA and FRY directions were positive in all six tests. CAMERA passed BH correction in five of six; the explicit exception was GSE174188 primary STAT2 (q=0.1355). FRY passed BH correction in all six.</w:t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S4B | IFN-overlap-depletion summary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000"/>
        <w:gridCol w:w="1300"/>
        <w:gridCol w:w="1200"/>
        <w:gridCol w:w="1400"/>
        <w:gridCol w:w="3460"/>
      </w:tblGrid>
      <w:tr>
        <w:trPr>
          <w:cantSplit/>
          <w:tblHeader w:val="true"/>
        </w:trPr>
        <w:tc>
          <w:tcPr>
            <w:tcW w:type="dxa" w:w="20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Depletion</w:t>
            </w:r>
          </w:p>
        </w:tc>
        <w:tc>
          <w:tcPr>
            <w:tcW w:type="dxa" w:w="13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Method</w:t>
            </w:r>
          </w:p>
        </w:tc>
        <w:tc>
          <w:tcPr>
            <w:tcW w:type="dxa" w:w="12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Positive direction</w:t>
            </w:r>
          </w:p>
        </w:tc>
        <w:tc>
          <w:tcPr>
            <w:tcW w:type="dxa" w:w="14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Dedicated q&lt;0.05</w:t>
            </w:r>
          </w:p>
        </w:tc>
        <w:tc>
          <w:tcPr>
            <w:tcW w:type="dxa" w:w="346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Main qualification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Frozen 12-gene IFN/ISG arm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ULM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34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Minimum slope retention 53.5%; all 95% confidence intervals above zero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Frozen 12-gene IFN/ISG arm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CAMERA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5/6</w:t>
            </w:r>
          </w:p>
        </w:tc>
        <w:tc>
          <w:tcPr>
            <w:tcW w:type="dxa" w:w="34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Discovery STAT2 q=0.326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Frozen 12-gene IFN/ISG arm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FRY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34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Direction and corrected support retained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M5911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ULM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5/6</w:t>
            </w:r>
          </w:p>
        </w:tc>
        <w:tc>
          <w:tcPr>
            <w:tcW w:type="dxa" w:w="34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Discovery STAT2 retained 8/14 targets; slope 0.391, 95% CI -0.745 to 1.526; q=0.500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M5911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CAMERA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2/6</w:t>
            </w:r>
          </w:p>
        </w:tc>
        <w:tc>
          <w:tcPr>
            <w:tcW w:type="dxa" w:w="34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Broad attenuation across contrasts; discovery STAT2 q=0.623</w:t>
            </w:r>
          </w:p>
        </w:tc>
      </w:tr>
      <w:tr>
        <w:trPr>
          <w:cantSplit/>
        </w:trPr>
        <w:tc>
          <w:tcPr>
            <w:tcW w:type="dxa" w:w="20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M5911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FRY</w:t>
            </w:r>
          </w:p>
        </w:tc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6/6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5/6</w:t>
            </w:r>
          </w:p>
        </w:tc>
        <w:tc>
          <w:tcPr>
            <w:tcW w:type="dxa" w:w="34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Discovery STAT2 q=0.099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All 11 depleted ULM models retaining at least ten targets preserved direction in every leave-one-target analysis. These sensitivities support robustness beyond the narrow 12-gene arm but not independence from the broader interferon-response transcriptome.</w:t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S5 | Main-figure source-data map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12"/>
        <w:gridCol w:w="4529"/>
        <w:gridCol w:w="3019"/>
      </w:tblGrid>
      <w:tr>
        <w:trPr>
          <w:cantSplit/>
          <w:tblHeader w:val="true"/>
        </w:trPr>
        <w:tc>
          <w:tcPr>
            <w:tcW w:type="dxa" w:w="1812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Figure</w:t>
            </w:r>
          </w:p>
        </w:tc>
        <w:tc>
          <w:tcPr>
            <w:tcW w:type="dxa" w:w="4529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Evidence basis</w:t>
            </w:r>
          </w:p>
        </w:tc>
        <w:tc>
          <w:tcPr>
            <w:tcW w:type="dxa" w:w="3019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Machine-readable source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 1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Disease-blind identity stability and two-compartment adjudication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Figure1_source_data.csv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 2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Sample-level composition and asserted 43/47 primary groups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Figure2_source_data.csv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 3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Raw-count pseudobulk transcription with explicit tested-gene symbols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Figure3_source_data.csv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 4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Independent GSE135779 validation and influence analyses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Figure4_source_data.csv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 5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Regulatory and orthogonal response evidence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Figure5_source_data.csv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 Figure S8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STAT1/STAT2 IFN-overlap-depletion sensitivity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Supplementary_Figure_S8_source_data.csv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 Figure S9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End-to-end identity boundary and downstream propagation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Supplementary_Figure_S9_source_data.csv</w:t>
            </w:r>
          </w:p>
        </w:tc>
      </w:tr>
      <w:tr>
        <w:trPr>
          <w:cantSplit/>
        </w:trPr>
        <w:tc>
          <w:tcPr>
            <w:tcW w:type="dxa" w:w="1812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 Figure S10</w:t>
            </w:r>
          </w:p>
        </w:tc>
        <w:tc>
          <w:tcPr>
            <w:tcW w:type="dxa" w:w="45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Corrected reference calibration and unresolved external transfer</w:t>
            </w:r>
          </w:p>
        </w:tc>
        <w:tc>
          <w:tcPr>
            <w:tcW w:type="dxa" w:w="30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Supplementary_Figure_S10_source_data.csv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S6 | Reproducibility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960"/>
        <w:gridCol w:w="5400"/>
      </w:tblGrid>
      <w:tr>
        <w:trPr>
          <w:cantSplit/>
          <w:tblHeader w:val="true"/>
        </w:trPr>
        <w:tc>
          <w:tcPr>
            <w:tcW w:type="dxa" w:w="396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Component</w:t>
            </w:r>
          </w:p>
        </w:tc>
        <w:tc>
          <w:tcPr>
            <w:tcW w:type="dxa" w:w="54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Reader-accessible record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Main and supplementary figure data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 Data 1 with SHA-256 manifest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Complete statistical results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 Data 3 with 12 gene-level branches and 12 sanitized design matrices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Correlation-aware sensitivity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Supplementary Data 2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End-to-end identity and boundary propagation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 xml:space="preserve">Supplementary Data 3, </w:t>
            </w:r>
            <w:r>
              <w:rPr>
                <w:rFonts w:ascii="Courier New" w:hAnsi="Courier New" w:eastAsia="Courier New"/>
                <w:color w:val="1F1F1F"/>
                <w:sz w:val="18"/>
              </w:rPr>
              <w:t>identity_robustness/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Analysis code and decisions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1F1F1F"/>
                <w:sz w:val="18"/>
              </w:rPr>
              <w:t>https://github.com/1209433622cz-maker/sle-bcell-remodeling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Environment reconstruction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 xml:space="preserve">Pinned scientific and release environments documented in </w:t>
            </w:r>
            <w:r>
              <w:rPr>
                <w:rFonts w:ascii="Courier New" w:hAnsi="Courier New" w:eastAsia="Courier New"/>
                <w:color w:val="1F1F1F"/>
                <w:sz w:val="18"/>
              </w:rPr>
              <w:t>REPRODUCIBILITY.md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Version-specific archive</w:t>
            </w:r>
          </w:p>
        </w:tc>
        <w:tc>
          <w:tcPr>
            <w:tcW w:type="dxa" w:w="5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Zenodo https://doi.org/10.5281/zenodo.22151739; matches the frozen manuscript, figures and statistical outputs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S7 | Statistical tests and multiplicity families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265"/>
        <w:gridCol w:w="1590"/>
        <w:gridCol w:w="1915"/>
        <w:gridCol w:w="1590"/>
        <w:gridCol w:w="1771"/>
        <w:gridCol w:w="1229"/>
      </w:tblGrid>
      <w:tr>
        <w:trPr>
          <w:cantSplit/>
          <w:tblHeader w:val="true"/>
        </w:trPr>
        <w:tc>
          <w:tcPr>
            <w:tcW w:type="dxa" w:w="1265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Result family</w:t>
            </w:r>
          </w:p>
        </w:tc>
        <w:tc>
          <w:tcPr>
            <w:tcW w:type="dxa" w:w="159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Biological unit</w:t>
            </w:r>
          </w:p>
        </w:tc>
        <w:tc>
          <w:tcPr>
            <w:tcW w:type="dxa" w:w="1915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Test or estimator</w:t>
            </w:r>
          </w:p>
        </w:tc>
        <w:tc>
          <w:tcPr>
            <w:tcW w:type="dxa" w:w="159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Sidedness</w:t>
            </w:r>
          </w:p>
        </w:tc>
        <w:tc>
          <w:tcPr>
            <w:tcW w:type="dxa" w:w="1771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Multiplicity</w:t>
            </w:r>
          </w:p>
        </w:tc>
        <w:tc>
          <w:tcPr>
            <w:tcW w:type="dxa" w:w="1229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7"/>
              </w:rPr>
              <w:t>Role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B_ASC composition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Sample-cohort stratum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Beta-binomial Wald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Two-sided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BH across three frozen base contrasts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Primary composition inference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Gene-level expression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Donor/sample pseudobulk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edgeR robust quasi-likelihood F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Two-sided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BH within tested genes per contrast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Gene-level inference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Four frozen programs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Donor/sample pseudobulk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OLS with HC3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Two-sided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BH across four programs per analysis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Program inference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TF-target activity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Ranked gene statistics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Signed-target slope t test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Two-sided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Global BH across 24 tests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Confirmatory regulatory evidence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STAT1/STAT2 sensitivity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Ranked gene statistics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CAMERA and FRY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Positive-direction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Separate BH families of six per method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Correlation-aware sensitivity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STAT1/STAT2 overlap depletion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Ranked gene statistics and pseudobulk counts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ULM, CAMERA and FRY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Two-sided ULM; positive-direction CAMERA/FRY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Separate BH family of six per branch and method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Post-freeze sensitivity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End-to-end identity reproducibility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Cell resample within technical library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ARI, AMI, mapping agreement, state Jaccard and recall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Not tested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Five unchanged threshold criteria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Disease-blind robustness boundary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Broad-state boundary propagation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Sample-cohort stratum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Frozen beta-binomial and TMM logCPM/HC3 models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Two-sided intervals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No new multiplicity family; same-data sensitivity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Assignment-uncertainty sensitivity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M5911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Ranked gene statistics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10,000-permutation preranked test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Positive-direction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Descriptive BH across three contrasts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Orthogonal support</w:t>
            </w:r>
          </w:p>
        </w:tc>
      </w:tr>
      <w:tr>
        <w:trPr>
          <w:cantSplit/>
        </w:trPr>
        <w:tc>
          <w:tcPr>
            <w:tcW w:type="dxa" w:w="12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GSE23307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Paired donor</w:t>
            </w:r>
          </w:p>
        </w:tc>
        <w:tc>
          <w:tcPr>
            <w:tcW w:type="dxa" w:w="1915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Mean paired log2(x+1) effect</w:t>
            </w:r>
          </w:p>
        </w:tc>
        <w:tc>
          <w:tcPr>
            <w:tcW w:type="dxa" w:w="15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Not tested</w:t>
            </w:r>
          </w:p>
        </w:tc>
        <w:tc>
          <w:tcPr>
            <w:tcW w:type="dxa" w:w="17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None; n=2</w:t>
            </w:r>
          </w:p>
        </w:tc>
        <w:tc>
          <w:tcPr>
            <w:tcW w:type="dxa" w:w="122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7"/>
              </w:rPr>
              <w:t>Descriptive perturbation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S8 | Full statistical-results archive map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350"/>
        <w:gridCol w:w="4900"/>
        <w:gridCol w:w="1110"/>
      </w:tblGrid>
      <w:tr>
        <w:trPr>
          <w:cantSplit/>
          <w:tblHeader w:val="true"/>
        </w:trPr>
        <w:tc>
          <w:tcPr>
            <w:tcW w:type="dxa" w:w="335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Directory</w:t>
            </w:r>
          </w:p>
        </w:tc>
        <w:tc>
          <w:tcPr>
            <w:tcW w:type="dxa" w:w="490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Contents</w:t>
            </w:r>
          </w:p>
        </w:tc>
        <w:tc>
          <w:tcPr>
            <w:tcW w:type="dxa" w:w="1110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Files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gene_level_results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Complete filterByExpr gene results for GSE174188 and GSE135779 branches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sanitized_design_matrices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Direct-identifier-free analysis designs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composition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Frozen coefficients, contrasts, predictions, sensitivities, leave-one-out and diagnostics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transcription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Program, ranked-list, influence and concordance results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regulatory_and_orthogonal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ULM, target influence, CAMERA/FRY, M5911 and GSE23307 summaries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statistical_framework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Machine-readable test and multiplicity map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identity_robustness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Aggregate and replicate-level end-to-end identity metrics, boundary propagation results and integrity records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101</w:t>
            </w:r>
          </w:p>
        </w:tc>
      </w:tr>
      <w:tr>
        <w:trPr>
          <w:cantSplit/>
        </w:trPr>
        <w:tc>
          <w:tcPr>
            <w:tcW w:type="dxa" w:w="335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external_mapping_calibration</w:t>
            </w:r>
          </w:p>
        </w:tc>
        <w:tc>
          <w:tcPr>
            <w:tcW w:type="dxa" w:w="49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Corrected feature and parameter tables, full confidence-calibration family, aggregate selection diagnostics, provenance, arithmetic recount and publication boundary</w:t>
            </w:r>
          </w:p>
        </w:tc>
        <w:tc>
          <w:tcPr>
            <w:tcW w:type="dxa" w:w="111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20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Table S9 | Reference-calibrated external mapping boundary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206"/>
        <w:gridCol w:w="3577"/>
        <w:gridCol w:w="3577"/>
      </w:tblGrid>
      <w:tr>
        <w:trPr>
          <w:cantSplit/>
          <w:tblHeader w:val="true"/>
        </w:trPr>
        <w:tc>
          <w:tcPr>
            <w:tcW w:type="dxa" w:w="2206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Component</w:t>
            </w:r>
          </w:p>
        </w:tc>
        <w:tc>
          <w:tcPr>
            <w:tcW w:type="dxa" w:w="3577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Corrected diagnostic</w:t>
            </w:r>
          </w:p>
        </w:tc>
        <w:tc>
          <w:tcPr>
            <w:tcW w:type="dxa" w:w="3577"/>
            <w:vAlign w:val="center"/>
            <w:shd w:fill="E8EEF5"/>
          </w:tcPr>
          <w:p>
            <w:pPr>
              <w:keepNext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1F1F1F"/>
                <w:sz w:val="19"/>
              </w:rPr>
              <w:t>Interpretation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External input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56 matrices; 363,083 cells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Complete source matrix coverage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External QC and selection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353,527 QC-passing cells; 36,630 B-lineage candidates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No source labels or disease fields parsed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Reference training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13,000 B_CONV and 1,300 B_ASC; 258 donors; 601 features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Both algorithms share reference and features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Normalization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Full-library log1p(CP10K) before feature subsetting in both datasets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Corrects reference feature-only denominator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Elastic-net calibration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Diagnostic threshold 0.95; coverage 0.941958; B_CONV precision 0.996450; B_ASC precision 0.885210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No eligible candidate: state precision must be at least 0.90 and coverage at least 0.80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Centroid calibration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Margin 0.117767; coverage 0.95; B_CONV precision 0.992374; B_ASC precision 1.0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Eligible, but cannot replace required primary mapper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Mean reference-fold balanced accuracy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Elastic net 0.960569; centroid 0.950293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Calibration diagnostics; not independent performance estimates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Outcome policy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Corrected disease outcomes not estimated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No corrected effect, confidence interval, P or q value exists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Prior outcome exposure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Original sensitivity outcomes were known before correction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Technical correction, not new prospective preregistration</w:t>
            </w:r>
          </w:p>
        </w:tc>
      </w:tr>
      <w:tr>
        <w:trPr>
          <w:cantSplit/>
        </w:trPr>
        <w:tc>
          <w:tcPr>
            <w:tcW w:type="dxa" w:w="220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Publication boundary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Primary GSE135779 replication remains source-label-defined</w:t>
            </w:r>
          </w:p>
        </w:tc>
        <w:tc>
          <w:tcPr>
            <w:tcW w:type="dxa" w:w="357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1F1F1F"/>
                <w:sz w:val="19"/>
              </w:rPr>
              <w:t>Original C9 PASS and effect estimates excluded from supporting evidence</w:t>
            </w:r>
          </w:p>
        </w:tc>
      </w:tr>
    </w:tbl>
    <w:p>
      <w:pPr>
        <w:spacing w:after="60"/>
      </w:pP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Full candidate calibration, donor-grouped cross-validation, reference normalization audit and corrected input/prediction hashes are retained with the analysis code. The original source-label-based pseudobulk effect is a standardized HC3 model estimate; the unexecuted sensitivity would instead compare donor mean cell-level log1p(CP10K) scores. They are different estimands and must not be compared as effect attenuation. No new multiplicity family was evaluated after the calibration HOLD.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S1 | Source integrity and hard-quality-control diagnostics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Hard-QC failure fractions by processing cohort and disease group.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Residual-risk call fraction versus cells per library, coloured by the library median score.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Percent and exact number of retained risk-negative cells and sensitivity-only residual-risk calls among 150,402 hard-QC B-lineage cells.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Median, 95th-percentile and threshold residual-risk scores for all 88 libraries.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217081"/>
            <wp:docPr id="1" name="Picture 1" title="Supplementary Figure S1" descr="Supplementary Figure S1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source_integrity_q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17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S2 | Representation and bridge diagnostics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Same-group neighbourhood concentration before and after Harmony adjustment.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Cross-cohort bridge-pair cosine-distance distributions.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Disease-blind branch concordance across Leiden resolutions for residual-risk-negative and strong-ISG-excluded branches; the vertical guide marks the primary resolution.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Biological marker-module localization across the five fine clusters considered before stability adjudication.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299513"/>
            <wp:docPr id="2" name="Picture 2" title="Supplementary Figure S2" descr="Supplementary Figure S2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representation_diagnost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S3 | Disease-blind identity adjudication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Median and worst-case mapped ARI for five-, four-, three- and two-level policies across frozen-representation resamples.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Median and minimum cluster Jaccard values show localization of failure to fine-state membership.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Mean transition matrix from original resolution-0.4 clusters to mapped reference clusters.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Minimum-to-median Jaccard intervals for the B_CONV and B_ASC analysis states across 20 frozen-representation resamples. Highly variable genes, principal components and Harmony coordinates were not recomputed in this figure.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299513"/>
            <wp:docPr id="3" name="Picture 3" title="Supplementary Figure S3" descr="Supplementary Figure S3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identity_adjud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S4 | Composition-model diagnostics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Total and zero-ASC sample-cohort strata in the three base contrasts.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Primary B_ASC odds ratios under support, explicit non-B and residual-risk policies using observed-information and HC1 covariance.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Firth-logistic ASC-presence sensitivity.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Positive-only abundance sensitivity using HC3 uncertainty. The two-part models are sensitivity analyses and do not replace the frozen beta-binomial primary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299513"/>
            <wp:docPr id="4" name="Picture 4" title="Supplementary Figure S4" descr="Supplementary Figure S4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omposition_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S5 | Pseudobulk and ranked-list diagnostics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Numbers of filterByExpr-tested and BH-significant genes across seven GSE174188 branches.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Common and median tagwise edgeR dispersions.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Mitochondrial, ribosomal, haemoglobin and immunoglobulin fractions among increasingly long primary ranked lists.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IFN/ISG effects and 95% confidence intervals across frozen branches.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381946"/>
            <wp:docPr id="5" name="Picture 5" title="Supplementary Figure S5" descr="Supplementary Figure S5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pseudobulk_diagnostic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8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S6 | Independent-validation diagnostics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Control and SLE donor counts across the five GSE135779 models.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Four-program childhood estimates.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Childhood IFN/ISG estimates after omission of each source B-cell label.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Full childhood program effects and ranges across donor-deletion analyses.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381946"/>
            <wp:docPr id="6" name="Picture 6" title="Supplementary Figure S6" descr="Supplementary Figure S6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external_validation_diagnost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8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S7 | Correlation-aware regulator sensitivity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CAMERA and FRY six-test BH concordance for STAT1 and STAT2. Dashed guides indicate q=0.05.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CAMERA residual-estimated inter-gene correlations.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Exact CAMERA and FRY BH q values.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Matched signed-target counts, which equal the frozen ULM family (STAT1: 98, 129 and 161; STAT2: 14, 19 and 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299513"/>
            <wp:docPr id="7" name="Picture 7" title="Supplementary Figure S7" descr="Supplementary Figure S7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regulator_correlation_sensi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S8 | STAT1/STAT2 IFN-overlap-depletion sensitivity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ULM slopes and 95% confidence intervals after removal of the frozen 12-gene IFN/ISG positive arm.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Corresponding estimates after removal of all 97 M5911 genes; discovery STAT2 retains eight targets and its interval crosses zero. Labels report remaining matched targets.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Exact branch- and method-specific Benjamini-Hochberg q values across the six regulator-by-contrast tests.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Percentage of frozen matched targets retained after each depletion. All method-level directions remain positive, but M5911 depletion produces substantial attenuation and does not support an overlap-independent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294490"/>
            <wp:docPr id="8" name="Picture 8" title="Supplementary Figure S8" descr="Supplementary Figure S8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overlap_deple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9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S9 | End-to-end reconstruction exposes a B_ASC-specific boundary without changing the disease conclusions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Observed values and unchanged criteria for the five formal end-to-end two-compartment checks; four passed and minimum state-median Jaccard produced HOLD.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State Jaccard across 20 complete reconstruction replicates shows that the formal failure is localized to B_ASC, while B_CONV remains above the 0.95 criterion.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Counts of sampled cells exchanged across the B_CONV/B_ASC boundary.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Primary B_ASC composition odds ratios and 95% confidence intervals after each observed boundary exchange; the dashed guide marks one and the orange line marks the frozen estimate. </w:t>
      </w:r>
      <w:r>
        <w:rPr>
          <w:rFonts w:ascii="Times New Roman" w:hAnsi="Times New Roman" w:eastAsia="Times New Roman"/>
          <w:b/>
          <w:color w:val="1F1F1F"/>
          <w:sz w:val="21"/>
        </w:rPr>
        <w:t>e,</w:t>
      </w:r>
      <w:r>
        <w:rPr>
          <w:rFonts w:ascii="Times New Roman" w:hAnsi="Times New Roman" w:eastAsia="Times New Roman"/>
          <w:color w:val="1F1F1F"/>
          <w:sz w:val="21"/>
        </w:rPr>
        <w:t xml:space="preserve"> Primary and donor-nonoverlap B_CONV IFN/ISG effects after boundary-cell raw counts were propagated through frozen TMM logCPM and HC3 models; dotted lines mark the frozen effects. All propagation analyses reuse GSE174188 and quantify assignment sensitivity rather than independent replication.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465140"/>
            <wp:docPr id="9" name="Picture 9" title="Supplementary Figure S9" descr="Supplementary Figure S9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9_identity_boundary_and_propag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46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color w:val="1F1F1F"/>
          <w:sz w:val="28"/>
        </w:rPr>
        <w:t>Supplementary Figure S10 | Reference calibration limits source-label-agnostic external transfer</w:t>
      </w:r>
    </w:p>
    <w:p>
      <w:pPr>
        <w:widowControl/>
      </w:pPr>
      <w:r>
        <w:rPr>
          <w:rFonts w:ascii="Times New Roman" w:hAnsi="Times New Roman" w:eastAsia="Times New Roman"/>
          <w:b/>
          <w:color w:val="1F1F1F"/>
          <w:sz w:val="21"/>
        </w:rPr>
        <w:t>a,</w:t>
      </w:r>
      <w:r>
        <w:rPr>
          <w:rFonts w:ascii="Times New Roman" w:hAnsi="Times New Roman" w:eastAsia="Times New Roman"/>
          <w:color w:val="1F1F1F"/>
          <w:sz w:val="21"/>
        </w:rPr>
        <w:t xml:space="preserve"> Median and interquartile range of full-library divided by selected-feature counts among 13,000 B_CONV and 1,300 B_ASC reference training cells. This ratio quantifies the legacy pre-log scaling discrepancy; corrected mapping uses full-library denominators in both datasets. </w:t>
      </w:r>
      <w:r>
        <w:rPr>
          <w:rFonts w:ascii="Times New Roman" w:hAnsi="Times New Roman" w:eastAsia="Times New Roman"/>
          <w:b/>
          <w:color w:val="1F1F1F"/>
          <w:sz w:val="21"/>
        </w:rPr>
        <w:t>b,</w:t>
      </w:r>
      <w:r>
        <w:rPr>
          <w:rFonts w:ascii="Times New Roman" w:hAnsi="Times New Roman" w:eastAsia="Times New Roman"/>
          <w:color w:val="1F1F1F"/>
          <w:sz w:val="21"/>
        </w:rPr>
        <w:t xml:space="preserve"> Per-state precision at the diagnostic elastic-net and eligible centroid thresholds; the dashed line is the unchanged 0.90 criterion. </w:t>
      </w:r>
      <w:r>
        <w:rPr>
          <w:rFonts w:ascii="Times New Roman" w:hAnsi="Times New Roman" w:eastAsia="Times New Roman"/>
          <w:b/>
          <w:color w:val="1F1F1F"/>
          <w:sz w:val="21"/>
        </w:rPr>
        <w:t>c,</w:t>
      </w:r>
      <w:r>
        <w:rPr>
          <w:rFonts w:ascii="Times New Roman" w:hAnsi="Times New Roman" w:eastAsia="Times New Roman"/>
          <w:color w:val="1F1F1F"/>
          <w:sz w:val="21"/>
        </w:rPr>
        <w:t xml:space="preserve"> Reference-cell coverage at those thresholds; the dashed line is the unchanged 0.80 criterion. </w:t>
      </w:r>
      <w:r>
        <w:rPr>
          <w:rFonts w:ascii="Times New Roman" w:hAnsi="Times New Roman" w:eastAsia="Times New Roman"/>
          <w:b/>
          <w:color w:val="1F1F1F"/>
          <w:sz w:val="21"/>
        </w:rPr>
        <w:t>d,</w:t>
      </w:r>
      <w:r>
        <w:rPr>
          <w:rFonts w:ascii="Times New Roman" w:hAnsi="Times New Roman" w:eastAsia="Times New Roman"/>
          <w:color w:val="1F1F1F"/>
          <w:sz w:val="21"/>
        </w:rPr>
        <w:t xml:space="preserve"> Balanced accuracy in each of five donor-grouped reference calibration folds. These folds select model and threshold parameters, not independent performance estimates. The elastic-net B_ASC precision failure prevents outcome access; centroid success is not a replacement analysis. No corrected external disease result is shown.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93"/>
            <wp:docPr id="10" name="Picture 10" title="Supplementary Figure S10" descr="Supplementary Figure S10; full panel description appears immediately above the fig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0_reference_calibration_bounda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2" w:color="BFBFBF"/>
      </w:pBdr>
    </w:pPr>
    <w:r>
      <w:rPr>
        <w:rFonts w:ascii="Times New Roman" w:hAnsi="Times New Roman" w:eastAsia="Times New Roman"/>
        <w:color w:val="595959"/>
        <w:sz w:val="18"/>
      </w:rPr>
      <w:t>Supplementary information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2" w:color="BFBFBF"/>
      </w:pBdr>
    </w:pPr>
    <w:r>
      <w:rPr>
        <w:rFonts w:ascii="Times New Roman" w:hAnsi="Times New Roman" w:eastAsia="Times New Roman"/>
        <w:color w:val="595959"/>
        <w:sz w:val="18"/>
      </w:rPr>
      <w:t>Supplementary information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Rule="auto" w:line="276"/>
    </w:pPr>
    <w:rPr>
      <w:rFonts w:ascii="Times New Roman" w:hAnsi="Times New Roman" w:eastAsia="Times New Roman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1F1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color w:val="1F1F1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ence">
    <w:name w:val="Reference"/>
    <w:pPr>
      <w:spacing w:after="60" w:lineRule="auto" w:line="276"/>
    </w:pPr>
    <w:rPr>
      <w:rFonts w:ascii="Times New Roman" w:hAnsi="Times New Roman" w:eastAsia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subject>Disease-blind reconstruction distinguishes reproducible interferon remodeling from unstable B-cell state assignments in systemic lupus erythematosus</dc:subject>
  <dc:creator>Zhi Chen; Teng Qi</dc:creator>
  <cp:keywords>SLE; B cells; single-cell RNA sequencing; interferon</cp:keywords>
  <dc:description>Generated reproducibly from the npj SBA final-hardened Markdown source.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