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3B64"/>
          <w:sz w:val="28"/>
        </w:rPr>
        <w:t>MBI6013 Research Proposal</w:t>
      </w:r>
    </w:p>
    <w:p>
      <w:pPr>
        <w:jc w:val="center"/>
      </w:pPr>
      <w:r>
        <w:rPr>
          <w:rFonts w:ascii="Times New Roman" w:hAnsi="Times New Roman" w:eastAsia="Times New Roman"/>
          <w:b/>
          <w:sz w:val="36"/>
        </w:rPr>
        <w:t>Deciphering Single-Cell Multi-Omic and Genetic Regulatory Programs</w:t>
        <w:br/>
        <w:t>of Pathogenic B-Cell States in Systemic Lupus Erythematosus</w:t>
      </w:r>
    </w:p>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Student</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Chen Zhi</w:t>
            </w:r>
          </w:p>
        </w:tc>
      </w:tr>
      <w:tr>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Student ID</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225050069</w:t>
            </w:r>
          </w:p>
        </w:tc>
      </w:tr>
      <w:tr>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Department</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Graduate Program in Bioinformatics</w:t>
            </w:r>
          </w:p>
        </w:tc>
      </w:tr>
      <w:tr>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Institution</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The Chinese University of Hong Kong, Shenzhen</w:t>
            </w:r>
          </w:p>
        </w:tc>
      </w:tr>
      <w:tr>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Mentor</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Prof. Yongfei Wang</w:t>
            </w:r>
          </w:p>
        </w:tc>
      </w:tr>
      <w:tr>
        <w:trPr/>
        <w:tc>
          <w:tcPr>
            <w:tcW w:type="dxa" w:w="3168"/>
            <w:shd w:fill="DCE6F1"/>
            <w:tcMar>
              <w:top w:w="80" w:type="dxa"/>
              <w:start w:w="100" w:type="dxa"/>
              <w:bottom w:w="80" w:type="dxa"/>
              <w:end w:w="100" w:type="dxa"/>
            </w:tcMar>
            <w:vAlign w:val="center"/>
          </w:tcPr>
          <w:p>
            <w:pPr>
              <w:spacing w:after="0"/>
            </w:pPr>
            <w:r>
              <w:rPr>
                <w:rFonts w:ascii="Times New Roman" w:hAnsi="Times New Roman" w:eastAsia="Times New Roman"/>
                <w:b/>
                <w:sz w:val="24"/>
              </w:rPr>
              <w:t>Date</w:t>
            </w:r>
          </w:p>
        </w:tc>
        <w:tc>
          <w:tcPr>
            <w:tcW w:type="dxa" w:w="6480"/>
            <w:tcMar>
              <w:top w:w="80" w:type="dxa"/>
              <w:start w:w="100" w:type="dxa"/>
              <w:bottom w:w="80" w:type="dxa"/>
              <w:end w:w="100" w:type="dxa"/>
            </w:tcMar>
            <w:vAlign w:val="center"/>
          </w:tcPr>
          <w:p>
            <w:pPr>
              <w:spacing w:after="0"/>
            </w:pPr>
            <w:r>
              <w:rPr>
                <w:rFonts w:ascii="Times New Roman" w:hAnsi="Times New Roman" w:eastAsia="Times New Roman"/>
                <w:sz w:val="24"/>
              </w:rPr>
              <w:t>April 2026</w:t>
            </w:r>
          </w:p>
        </w:tc>
      </w:tr>
    </w:tbl>
    <w:p/>
    <w:p>
      <w:pPr>
        <w:jc w:val="both"/>
      </w:pPr>
      <w:r>
        <w:rPr>
          <w:b/>
        </w:rPr>
        <w:t xml:space="preserve">Project overview. </w:t>
      </w:r>
      <w:r>
        <w:t>This proposal presents a computationally feasible and hypothesis-driven plan to define pathogenic B-cell states in systemic lupus erythematosus (SLE), with a focus on age-associated B cells (ABCs)/DN2-like cells, activated memory-like states, plasmablast-associated states, and antigen-presenting B-cell states. The project integrates public single-cell transcriptomic datasets with external immune-genetic and multi-omic resources to move from descriptive lupus heterogeneity toward a mechanistically prioritized model of disease-relevant B-cell programs.</w:t>
      </w:r>
    </w:p>
    <w:p>
      <w:r>
        <w:br w:type="page"/>
      </w:r>
    </w:p>
    <w:p>
      <w:pPr>
        <w:pStyle w:val="Heading1"/>
      </w:pPr>
      <w:r>
        <w:t>1. Background and Significance</w:t>
      </w:r>
    </w:p>
    <w:p>
      <w:pPr>
        <w:jc w:val="both"/>
      </w:pPr>
      <w:r>
        <w:t>Systemic lupus erythematosus (SLE) is a heterogeneous autoimmune disease characterized by broad variation in clinical manifestations, molecular activity, and treatment response. Although type I interferon signaling, autoantibody production, and dysregulated lymphocyte activation are widely recognized as core hallmarks of the disease, these features do not by themselves explain why patients differ so markedly in severity, organ involvement, or trajectory. Large-scale single-cell profiling has therefore become particularly important in lupus because it can simultaneously resolve altered cell abundance, disease-associated cell states, and the cellular contexts in which genetic risk may act [1].</w:t>
      </w:r>
    </w:p>
    <w:p>
      <w:pPr>
        <w:jc w:val="both"/>
      </w:pPr>
      <w:r>
        <w:t>Among the immune populations implicated in lupus, B cells remain especially important because they connect several layers of disease pathogenesis at once. They can differentiate into antibody-secreting cells, serve as antigen-presenting cells, participate in cytokine-mediated immune amplification, and form a bridge between innate sensing and adaptive autoimmunity. However, recent work suggests that lupus-associated B-cell pathology is not driven by a single aberrant subset. Instead, it is better conceptualized as a continuum of pathogenic states that includes activated memory-like populations, age-associated B cells (ABCs), DN2-like cells, plasmablasts, and, in some settings, antigen-presenting B-cell states [1-4].</w:t>
      </w:r>
    </w:p>
    <w:p>
      <w:pPr>
        <w:jc w:val="both"/>
      </w:pPr>
      <w:r>
        <w:t>Recent mechanistic studies have substantially strengthened this state-based model. Dai et al. showed that the transcription factor ZEB2 is required for human and mouse ABC differentiation and is necessary for ABC accumulation in lupus-related settings, establishing ZEB2 as a probable regulator rather than a passive marker of the ABC program [2]. Zeng et al. further linked TLR7 signaling to ABC differentiation through the m6A demethylase FTO, ATP6V1G1-mediated lysosomal function, and mitochondrial oxidative metabolism, demonstrating that metabolic regulation is tightly integrated into pathogenic B-cell fate choice in SLE [3]. In parallel, Younis et al. showed that Epstein-Barr virus (EBV)-positive B cells in SLE are largely CD27+CD21low memory B cells with transcriptional features of activated antigen-presenting cells, and that EBV-associated reprogramming is linked to upregulation of ZEB2, TBX21, and antigen-presentation pathways [4]. Together, these studies suggest that apparently distinct lupus B-cell observations may converge on a shared set of regulatory circuits involving innate sensing, inflammatory activation, and altered cell fate specification.</w:t>
      </w:r>
    </w:p>
    <w:p>
      <w:pPr>
        <w:jc w:val="both"/>
      </w:pPr>
      <w:r>
        <w:t>Single-cell studies of human lupus reinforce the need for a higher-resolution model. Perez et al. profiled more than 1.2 million peripheral blood mononuclear cells (PBMCs) from SLE cases and controls and showed that disease status is associated not only with altered immune composition but also with distinct cell type-specific transcriptional states and cell type-specific cis-eQTL effects [1]. Although monocyte interferon signatures were particularly prominent in that study, its broader conclusion was that SLE cannot be understood adequately without resolving immune states at single-cell resolution and connecting them to human genetic architecture. This conclusion is highly relevant for B-cell biology because B-cell activation and differentiation are strongly state dependent and may be obscured when analyzed only in coarse bulk compartments.</w:t>
      </w:r>
    </w:p>
    <w:p>
      <w:pPr>
        <w:jc w:val="both"/>
      </w:pPr>
      <w:r>
        <w:t>Beyond lupus itself, population-scale immune genetic resources show that regulatory effects are frequently cell type-specific and, importantly, dynamic across differentiation trajectories. The OneK1K study mapped single-cell eQTLs in 1.27 million PBMCs from 982 donors and identified dynamic allelic effects across the transition from immature or naive to memory B cells, demonstrating that B-cell maturation is a genetically structured process rather than a transcriptionally uniform landscape [5]. The Chinese Immune Multi-Omics Atlas (CIMA) extended this logic at larger scale by profiling more than 10 million PBMCs from 428 Chinese adults, generating cell type-resolved gene regulatory networks, cis-eQTLs, caQTLs, and GWAS-integrated associations, including dynamic eQTL effects in B cells [6]. These resources make it possible to ask not only which genes mark a pathogenic B-cell state, but also which regulatory programs and genetically supported mechanisms are most likely to drive it.</w:t>
      </w:r>
    </w:p>
    <w:p>
      <w:pPr>
        <w:jc w:val="both"/>
      </w:pPr>
      <w:r>
        <w:t>Tissue studies further suggest that blood-derived immune programs may have phenotypic consequences across organs and clinical manifestations. In cutaneous lupus lesions, Zheng et al. identified increased immune infiltration, interferon-high subclusters, and active cell-cell communication among stromal and immune populations, with differences between discoid lupus and SLE lesions [7]. A more recent CLUES-based transcriptomic study further linked distinct skin manifestations of SLE to specific pathway fingerprints and changes in circulating B-cell and plasma-cell enrichment, especially in mucosal ulcers and discoid lupus [8]. These findings motivate the inclusion of phenotype-oriented external validation in the present proposal: if a blood-derived pathogenic B-cell program is biologically meaningful, it should plausibly connect to tissue inflammation or specific clinical contexts rather than remain an isolated PBMC signature.</w:t>
      </w:r>
    </w:p>
    <w:p>
      <w:pPr>
        <w:jc w:val="both"/>
      </w:pPr>
      <w:r>
        <w:t>The central gap, therefore, is not the absence of lupus-associated observations, but the lack of an integrated framework linking pathogenic B-cell states, their transition structure, their regulatory programs, and their genetically supported drivers. The significance of the proposed project lies in addressing this gap through a computationally tractable strategy that combines lupus single-cell datasets from blood and selected tissue contexts with external immune-genetic and multi-omic resources. The long-term objective is to move from a descriptive atlas of lupus B-cell heterogeneity toward a mechanistically prioritized model of pathogenic B-cell states in SLE.</w:t>
      </w:r>
    </w:p>
    <w:p>
      <w:pPr>
        <w:pStyle w:val="Heading1"/>
      </w:pPr>
      <w:r>
        <w:t>2. Specific Aims</w:t>
      </w:r>
    </w:p>
    <w:p>
      <w:pPr>
        <w:jc w:val="both"/>
      </w:pPr>
      <w:r>
        <w:rPr>
          <w:b/>
        </w:rPr>
        <w:t xml:space="preserve">Central hypothesis. </w:t>
      </w:r>
      <w:r>
        <w:t>Pathogenic B-cell states in SLE, especially ABC/DN2-like, activated memory-like, plasmablast-associated, and antigen-presenting B-cell states, are driven by convergent cell-state-specific regulatory programs that integrate innate immune sensing, interferon-linked activation, and genetically mediated immune regulation. These pathogenic programs can be identified and prioritized by integrating single-cell transcriptomic profiles with multi-omic regulatory and human genetic evidence.</w:t>
      </w:r>
    </w:p>
    <w:p>
      <w:pPr>
        <w:jc w:val="both"/>
      </w:pPr>
      <w:r>
        <w:rPr>
          <w:b/>
        </w:rPr>
        <w:t>Aim 1. Define the cellular landscape and transition structure of pathogenic B-cell states in SLE using public single-cell datasets.</w:t>
      </w:r>
      <w:r/>
    </w:p>
    <w:p>
      <w:pPr>
        <w:jc w:val="both"/>
      </w:pPr>
      <w:r>
        <w:rPr>
          <w:b/>
        </w:rPr>
        <w:t xml:space="preserve">Rationale. </w:t>
      </w:r>
      <w:r>
        <w:t>Existing single-cell studies show that lupus involves altered immune composition and disease-associated immune states, but the organization of pathogenic B-cell states across blood and selected tissue contexts remains incompletely resolved [1,4,7].</w:t>
      </w:r>
    </w:p>
    <w:p>
      <w:pPr>
        <w:jc w:val="both"/>
      </w:pPr>
      <w:r>
        <w:rPr>
          <w:b/>
        </w:rPr>
        <w:t xml:space="preserve">Approach. </w:t>
      </w:r>
      <w:r>
        <w:t>This aim will identify B-cell subsets and continua relevant to pathogenic autoreactivity, including ABC/DN2-like, activated memory-like, plasmablast-associated, and antigen-presenting B-cell states. It will also model their pathway activity, trajectory relationships, and inflammatory communication context.</w:t>
      </w:r>
    </w:p>
    <w:p>
      <w:pPr>
        <w:jc w:val="both"/>
      </w:pPr>
      <w:r>
        <w:rPr>
          <w:b/>
        </w:rPr>
        <w:t xml:space="preserve">Expected outcome. </w:t>
      </w:r>
      <w:r>
        <w:t>A harmonized atlas of lupus-associated B-cell states, including marker genes, pathway signatures, transition axes, and communication patterns, will be generated as the foundation for downstream regulatory analysis.</w:t>
      </w:r>
    </w:p>
    <w:p>
      <w:pPr>
        <w:jc w:val="both"/>
      </w:pPr>
      <w:r>
        <w:rPr>
          <w:b/>
        </w:rPr>
        <w:t>Aim 2. Identify regulatory and genetically supported candidate drivers of pathogenic B-cell states through integrative multi-omic analysis.</w:t>
      </w:r>
      <w:r/>
    </w:p>
    <w:p>
      <w:pPr>
        <w:jc w:val="both"/>
      </w:pPr>
      <w:r>
        <w:rPr>
          <w:b/>
        </w:rPr>
        <w:t xml:space="preserve">Rationale. </w:t>
      </w:r>
      <w:r>
        <w:t>State-resolved gene expression alone does not distinguish proximal drivers from downstream markers. Published immune-genetic resources show that eQTL and xQTL effects are highly cell type-specific and can change along B-cell maturation trajectories [5,6].</w:t>
      </w:r>
    </w:p>
    <w:p>
      <w:pPr>
        <w:jc w:val="both"/>
      </w:pPr>
      <w:r>
        <w:rPr>
          <w:b/>
        </w:rPr>
        <w:t xml:space="preserve">Approach. </w:t>
      </w:r>
      <w:r>
        <w:t>This aim will integrate lupus B-cell state signatures with external immune genetic and regulatory resources, including OneK1K dynamic eQTL results, CIMA xQTL and gene regulatory network evidence, and literature-supported driver programs such as ZEB2-, TBX21-, and FTO-related modules.</w:t>
      </w:r>
    </w:p>
    <w:p>
      <w:pPr>
        <w:jc w:val="both"/>
      </w:pPr>
      <w:r>
        <w:rPr>
          <w:b/>
        </w:rPr>
        <w:t xml:space="preserve">Expected outcome. </w:t>
      </w:r>
      <w:r>
        <w:t>A ranked, genetically informed regulatory model of pathogenic lupus B-cell states will be produced, together with a shortlist of candidate drivers and pathways for future functional validation.</w:t>
      </w:r>
    </w:p>
    <w:p>
      <w:pPr>
        <w:pStyle w:val="Heading1"/>
      </w:pPr>
      <w:r>
        <w:t>3. Preliminary Data (Public-Data Feasibility and Rationale)</w:t>
      </w:r>
    </w:p>
    <w:p>
      <w:pPr>
        <w:jc w:val="both"/>
      </w:pPr>
      <w:r>
        <w:t>No original wet-lab preliminary data are claimed in this proposal. This is consistent with the course guideline that substantial preliminary data are not required, provided that the proposal presents a clear hypothesis and a feasible experimental design. In the present case, feasibility is supported by the existence of high-quality public datasets and by the fact that the principal analytical components have already been established in the uploaded literature, including single-cell preprocessing, doublet removal, integration, trajectory analysis, cell-cell communication analysis, and immune-genetic mapping [1,5-7].</w:t>
      </w:r>
    </w:p>
    <w:p>
      <w:pPr>
        <w:jc w:val="both"/>
      </w:pPr>
      <w:r>
        <w:t>The public resources that most directly support this proposal include: (i) the large SLE PBMC single-cell dataset generated by Perez et al.; (ii) the cutaneous lupus single-cell dataset generated by Zheng et al.; (iii) the EBV-focused SLE B-cell dataset from Younis et al.; (iv) published ABC-related mechanistic resources associated with the ZEB2 and FTO studies; (v) the OneK1K single-cell eQTL resource; and (vi) the CIMA immune multi-omics atlas [1-6]. These resources collectively support both aims of the proposed work and substantially reduce the risk that the project is methodologically ambitious but practically infeasible.</w:t>
      </w:r>
    </w:p>
    <w:p>
      <w:pPr>
        <w:jc w:val="left"/>
      </w:pPr>
      <w:r>
        <w:rPr>
          <w:b/>
        </w:rPr>
        <w:t>TABLE 1. Core public resources to be used in the proposed study.</w:t>
      </w:r>
    </w:p>
    <w:tbl>
      <w:tblPr>
        <w:tblStyle w:val="TableGrid"/>
        <w:tblW w:type="auto" w:w="0"/>
        <w:jc w:val="center"/>
        <w:tblLook w:firstColumn="1" w:firstRow="1" w:lastColumn="0" w:lastRow="0" w:noHBand="0" w:noVBand="1" w:val="04A0"/>
      </w:tblPr>
      <w:tblGrid>
        <w:gridCol w:w="1901"/>
        <w:gridCol w:w="1901"/>
        <w:gridCol w:w="1901"/>
        <w:gridCol w:w="1901"/>
        <w:gridCol w:w="1901"/>
      </w:tblGrid>
      <w:tr>
        <w:trPr>
          <w:tblHeader w:val="true"/>
        </w:trPr>
        <w:tc>
          <w:tcPr>
            <w:tcW w:type="dxa" w:w="1901"/>
            <w:shd w:fill="DCE6F1"/>
            <w:tcMar>
              <w:top w:w="80" w:type="dxa"/>
              <w:start w:w="100" w:type="dxa"/>
              <w:bottom w:w="80" w:type="dxa"/>
              <w:end w:w="100" w:type="dxa"/>
            </w:tcMar>
            <w:vAlign w:val="center"/>
          </w:tcPr>
          <w:p>
            <w:pPr>
              <w:jc w:val="center"/>
            </w:pPr>
            <w:r>
              <w:rPr>
                <w:rFonts w:ascii="Times New Roman" w:hAnsi="Times New Roman" w:eastAsia="Times New Roman"/>
                <w:b/>
                <w:sz w:val="22"/>
              </w:rPr>
              <w:t>Resource</w:t>
            </w:r>
          </w:p>
        </w:tc>
        <w:tc>
          <w:tcPr>
            <w:tcW w:type="dxa" w:w="1901"/>
            <w:shd w:fill="DCE6F1"/>
            <w:tcMar>
              <w:top w:w="80" w:type="dxa"/>
              <w:start w:w="100" w:type="dxa"/>
              <w:bottom w:w="80" w:type="dxa"/>
              <w:end w:w="100" w:type="dxa"/>
            </w:tcMar>
            <w:vAlign w:val="center"/>
          </w:tcPr>
          <w:p>
            <w:pPr>
              <w:jc w:val="center"/>
            </w:pPr>
            <w:r>
              <w:rPr>
                <w:rFonts w:ascii="Times New Roman" w:hAnsi="Times New Roman" w:eastAsia="Times New Roman"/>
                <w:b/>
                <w:sz w:val="22"/>
              </w:rPr>
              <w:t>Material</w:t>
            </w:r>
          </w:p>
        </w:tc>
        <w:tc>
          <w:tcPr>
            <w:tcW w:type="dxa" w:w="1901"/>
            <w:shd w:fill="DCE6F1"/>
            <w:tcMar>
              <w:top w:w="80" w:type="dxa"/>
              <w:start w:w="100" w:type="dxa"/>
              <w:bottom w:w="80" w:type="dxa"/>
              <w:end w:w="100" w:type="dxa"/>
            </w:tcMar>
            <w:vAlign w:val="center"/>
          </w:tcPr>
          <w:p>
            <w:pPr>
              <w:jc w:val="center"/>
            </w:pPr>
            <w:r>
              <w:rPr>
                <w:rFonts w:ascii="Times New Roman" w:hAnsi="Times New Roman" w:eastAsia="Times New Roman"/>
                <w:b/>
                <w:sz w:val="22"/>
              </w:rPr>
              <w:t>Scale / cohort</w:t>
            </w:r>
          </w:p>
        </w:tc>
        <w:tc>
          <w:tcPr>
            <w:tcW w:type="dxa" w:w="1901"/>
            <w:shd w:fill="DCE6F1"/>
            <w:tcMar>
              <w:top w:w="80" w:type="dxa"/>
              <w:start w:w="100" w:type="dxa"/>
              <w:bottom w:w="80" w:type="dxa"/>
              <w:end w:w="100" w:type="dxa"/>
            </w:tcMar>
            <w:vAlign w:val="center"/>
          </w:tcPr>
          <w:p>
            <w:pPr>
              <w:jc w:val="center"/>
            </w:pPr>
            <w:r>
              <w:rPr>
                <w:rFonts w:ascii="Times New Roman" w:hAnsi="Times New Roman" w:eastAsia="Times New Roman"/>
                <w:b/>
                <w:sz w:val="22"/>
              </w:rPr>
              <w:t>Main value for this proposal</w:t>
            </w:r>
          </w:p>
        </w:tc>
        <w:tc>
          <w:tcPr>
            <w:tcW w:type="dxa" w:w="1901"/>
            <w:shd w:fill="DCE6F1"/>
            <w:tcMar>
              <w:top w:w="80" w:type="dxa"/>
              <w:start w:w="100" w:type="dxa"/>
              <w:bottom w:w="80" w:type="dxa"/>
              <w:end w:w="100" w:type="dxa"/>
            </w:tcMar>
            <w:vAlign w:val="center"/>
          </w:tcPr>
          <w:p>
            <w:pPr>
              <w:jc w:val="center"/>
            </w:pPr>
            <w:r>
              <w:rPr>
                <w:rFonts w:ascii="Times New Roman" w:hAnsi="Times New Roman" w:eastAsia="Times New Roman"/>
                <w:b/>
                <w:sz w:val="22"/>
              </w:rPr>
              <w:t>Availability</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Perez et al. 2022 [1]</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PBMC scRNA-seq + genotype</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1.2M+ PBMCs; 162 SLE cases, 99 controls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Core discovery atlas for lupus-associated immune states and cell type-specific genetic context</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GSE174188</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Zheng et al. 2022 [7]</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Skin scRNA-seq</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23 skin tissues; 107,428 epidermal and 191,701 dermal cells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Tissue-level contextualization of interferon-rich lesions and communication patterns</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GSE179633</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Younis et al. 2025 [4]</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EBV-focused SLE scRNA-seq</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Patient-derived EBV+ and EBV- B-cell states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Defines APC-like autoreactive B-cell reprogramming and candidate driver modules</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PRJNA1301449</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Yazar et al. 2022 [5]</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PBMC scRNA-seq + eQTL</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1.27M PBMCs; 982 donors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Dynamic eQTLs across the B-cell landscape and cell type-specific immune regulation</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GSE196830</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Yin et al. 2026 [6]</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scRNA-seq + scATAC-seq + WGS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10.2M PBMCs; 428 Chinese adults</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Gene regulatory networks, eGenes, caPeaks, and B-cell dynamic xQTL context</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Published atlas</w:t>
            </w:r>
          </w:p>
        </w:tc>
      </w:tr>
      <w:tr>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Lee et al. 2025 [8]</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Whole blood / sorted-cell bulk RNA-seq</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461 bulk samples from 276 CLUES patients; subset of sorted-cell data</w:t>
            </w:r>
          </w:p>
        </w:tc>
        <w:tc>
          <w:tcPr>
            <w:tcW w:type="dxa" w:w="1901"/>
            <w:tcMar>
              <w:top w:w="80" w:type="dxa"/>
              <w:start w:w="100" w:type="dxa"/>
              <w:bottom w:w="80" w:type="dxa"/>
              <w:end w:w="100" w:type="dxa"/>
            </w:tcMar>
            <w:vAlign w:val="center"/>
          </w:tcPr>
          <w:p>
            <w:pPr>
              <w:jc w:val="left"/>
            </w:pPr>
            <w:r>
              <w:rPr>
                <w:rFonts w:ascii="Times New Roman" w:hAnsi="Times New Roman" w:eastAsia="Times New Roman"/>
                <w:sz w:val="21"/>
              </w:rPr>
              <w:t>Phenotype-oriented validation for cutaneous manifestations of lupus</w:t>
            </w:r>
          </w:p>
        </w:tc>
        <w:tc>
          <w:tcPr>
            <w:tcW w:type="dxa" w:w="1901"/>
            <w:tcMar>
              <w:top w:w="80" w:type="dxa"/>
              <w:start w:w="100" w:type="dxa"/>
              <w:bottom w:w="80" w:type="dxa"/>
              <w:end w:w="100" w:type="dxa"/>
            </w:tcMar>
            <w:vAlign w:val="center"/>
          </w:tcPr>
          <w:p>
            <w:pPr>
              <w:jc w:val="center"/>
            </w:pPr>
            <w:r>
              <w:rPr>
                <w:rFonts w:ascii="Times New Roman" w:hAnsi="Times New Roman" w:eastAsia="Times New Roman"/>
                <w:sz w:val="21"/>
              </w:rPr>
              <w:t>Published preprint</w:t>
            </w:r>
          </w:p>
        </w:tc>
      </w:tr>
    </w:tbl>
    <w:p/>
    <w:p>
      <w:pPr>
        <w:pStyle w:val="Heading1"/>
      </w:pPr>
      <w:r>
        <w:t>4. Research (Experimental) Design and Methods</w:t>
      </w:r>
    </w:p>
    <w:p>
      <w:pPr>
        <w:pStyle w:val="Heading2"/>
      </w:pPr>
      <w:r>
        <w:t>4.1 Overall study design</w:t>
      </w:r>
    </w:p>
    <w:p>
      <w:pPr>
        <w:jc w:val="both"/>
      </w:pPr>
      <w:r>
        <w:t>The study will be performed in four linked stages. Stage I will assemble and preprocess public single-cell and selected bulk transcriptomic datasets relevant to lupus B-cell biology. Stage II will construct a harmonized atlas of B-cell states and infer transition structure, pathway activity, and immune communication patterns. Stage III will integrate the resulting state signatures with public immune genetic and multi-omic resources to prioritize candidate drivers. Stage IV will evaluate reproducibility and phenotype relevance through cross-dataset validation and cutaneous lupus contextualization. This staged design directly maps onto the two specific aims and is intentionally structured to remain feasible within a graduate research timeframe.</w:t>
      </w:r>
    </w:p>
    <w:p>
      <w:pPr>
        <w:pStyle w:val="Heading2"/>
      </w:pPr>
      <w:r>
        <w:t>4.2 Data collection and resource assembly</w:t>
      </w:r>
    </w:p>
    <w:p>
      <w:pPr>
        <w:jc w:val="both"/>
      </w:pPr>
      <w:r>
        <w:t>Primary discovery analyses will use public lupus PBMC single-cell datasets, centered on the large mux-seq dataset of Perez et al. [1]. This dataset is particularly well suited for state discovery because it includes a large number of cells from multiple cases and controls and is paired with genotyping. To enrich B-cell-centered mechanistic interpretation, EBV-focused SLE single-cell data from Younis et al. [4] and ABC-focused mechanistic sequencing resources from ZEB2- and FTO-related studies [2,3] will be used as biological anchors.</w:t>
      </w:r>
    </w:p>
    <w:p>
      <w:pPr>
        <w:jc w:val="both"/>
      </w:pPr>
      <w:r>
        <w:t>For tissue contextualization, the skin lesion single-cell dataset of Zheng et al. [7] will be used as an auxiliary validation layer. This is not intended to force a direct blood-to-skin equivalence, but rather to test whether blood-derived B-cell or plasmablast programs are compatible with tissue inflammatory settings enriched for interferon activity, stromal-immune interaction, and immune cell infiltration. The CLUES-based transcriptomic study of specific cutaneous manifestations of lupus [8] will be used as an additional phenotype-level reference to determine whether inferred B-cell signatures show enrichment in clinically meaningful rash categories.</w:t>
      </w:r>
    </w:p>
    <w:p>
      <w:pPr>
        <w:jc w:val="both"/>
      </w:pPr>
      <w:r>
        <w:t>For regulatory and genetic integration, the OneK1K study [5] and CIMA [6] will be used as the principal external resources because both provide cell type-resolved immune genetic information and dynamic B-cell regulatory context. Published locus-prioritization principles from MultiSuSiE and trans-pQTL/PPI studies [9,10] will be used conceptually to guide the ranking of candidate mechanisms when multiple plausible genes are located within broader autoimmune risk intervals.</w:t>
      </w:r>
    </w:p>
    <w:p>
      <w:pPr>
        <w:pStyle w:val="Heading2"/>
      </w:pPr>
      <w:r>
        <w:t>4.3 Preprocessing, harmonization, and quality control</w:t>
      </w:r>
    </w:p>
    <w:p>
      <w:pPr>
        <w:jc w:val="both"/>
      </w:pPr>
      <w:r>
        <w:t>Raw or processed count matrices will be imported into a standard single-cell analysis workflow implemented in R and Python. Initial quality control will remove low-quality droplets, likely doublets, and cells with extreme mitochondrial content or low-complexity transcriptomes. Where raw data and metadata permit, published approaches such as Scrublet-based doublet filtering, donor-level demultiplexing information, and study-specific annotations will be incorporated rather than ignored [1,7]. Gene symbols will be harmonized across datasets, and only cells with adequate annotation confidence and sufficient B-cell representation will be carried forward into the B-cell-focused analysis.</w:t>
      </w:r>
    </w:p>
    <w:p>
      <w:pPr>
        <w:jc w:val="both"/>
      </w:pPr>
      <w:r>
        <w:t>To reduce technical heterogeneity introduced by different platforms, donors, and batches, datasets will be normalized separately and then integrated using established batch-aware strategies such as Seurat integration or Harmony-based embedding alignment. Importantly, harmonization will be used to compare shared biological programs across datasets rather than to erase true disease-specific differences. Because over-integration can blur rare pathogenic states, both integrated and study-specific analyses will be retained and cross-checked. State calls that are visible only after aggressive integration but absent in individual datasets will be interpreted cautiously.</w:t>
      </w:r>
    </w:p>
    <w:p>
      <w:pPr>
        <w:pStyle w:val="Heading2"/>
      </w:pPr>
      <w:r>
        <w:t>4.4 B-cell-focused atlas construction and state annotation</w:t>
      </w:r>
    </w:p>
    <w:p>
      <w:pPr>
        <w:jc w:val="both"/>
      </w:pPr>
      <w:r>
        <w:t>After global integration, B cells will be extracted and re-clustered at higher resolution to define subpopulations relevant to the proposal. Annotation will proceed through a combination of canonical markers, published lupus-specific markers, and literature-guided module scoring. Naive and transitional B-cell states will be identified using canonical naive markers. Activated memory-like states will be defined by activation and antigen-experience signatures. ABC/DN2-like states will be annotated using markers and programs highlighted in the ZEB2 and FTO studies, including ITGAX, FCRL3, FCRL5, FCGR2B, reduced CXCR5 or IGHD-related features, and inflammatory transcriptional programs [2,3]. Plasmablast-associated states will be identified by plasma-cell differentiation markers, whereas APC-like B-cell states will be evaluated using antigen-presentation and costimulation programs emphasized in the EBV-focused study [4].</w:t>
      </w:r>
    </w:p>
    <w:p>
      <w:pPr>
        <w:jc w:val="both"/>
      </w:pPr>
      <w:r>
        <w:t>Because the central biological question concerns pathogenic state relationships rather than only cluster labels, annotation will also use module scoring and nearest-neighbor relationships rather than relying exclusively on hard boundaries. This is important because DN2-like, ABC-like, and activated memory-like compartments may be transcriptionally adjacent, and over-discrete labeling may obscure biologically meaningful continua.</w:t>
      </w:r>
    </w:p>
    <w:p>
      <w:pPr>
        <w:pStyle w:val="Heading2"/>
      </w:pPr>
      <w:r>
        <w:t>4.5 Differential expression, pathway analysis, and state scoring</w:t>
      </w:r>
    </w:p>
    <w:p>
      <w:pPr>
        <w:jc w:val="both"/>
      </w:pPr>
      <w:r>
        <w:t>For each annotated B-cell state, differential expression will be performed against matched comparator states using pseudobulk or donor-aware models whenever sample structure permits. This choice reduces pseudoreplication and reflects the fact that donor-level effects can be substantial in human immune datasets. Enrichment analyses will then be performed using Hallmark, Gene Ontology, and curated immune pathway collections to identify pathways associated with specific states, with particular attention to interferon signaling, antigen presentation, TLR-related activation, oxidative metabolism, lysosomal or autophagy pathways, and plasma-cell differentiation.</w:t>
      </w:r>
    </w:p>
    <w:p>
      <w:pPr>
        <w:jc w:val="both"/>
      </w:pPr>
      <w:r>
        <w:t>To increase interpretability across datasets, each major state will be summarized as a compact state signature composed of upregulated genes, pathway enrichment features, and transcription factor-associated modules. These signatures will be used in downstream validation and integration analyses rather than transporting full cluster identities across studies, because compact signatures are generally more robust than one-to-one cluster matching.</w:t>
      </w:r>
    </w:p>
    <w:p>
      <w:pPr>
        <w:pStyle w:val="Heading2"/>
      </w:pPr>
      <w:r>
        <w:t>4.6 Trajectory analysis and transition modeling</w:t>
      </w:r>
    </w:p>
    <w:p>
      <w:pPr>
        <w:jc w:val="both"/>
      </w:pPr>
      <w:r>
        <w:t>A major analytical objective of Aim 1 is to determine whether pathogenic lupus B-cell states can be arranged along coherent transition structures. For this purpose, trajectory inference methods such as Monocle3, Slingshot, or diffusion-map-based pseudotime analysis will be applied to the B-cell compartment. The starting region of the trajectory will be anchored in naive or transitional compartments, with downstream branches evaluated toward activated memory-like, ABC/DN2-like, and plasmablast-associated states. When available and technically appropriate, RNA velocity-derived directionality will be used as supportive evidence rather than as the sole criterion for direction.</w:t>
      </w:r>
    </w:p>
    <w:p>
      <w:pPr>
        <w:jc w:val="both"/>
      </w:pPr>
      <w:r>
        <w:t>Dynamic gene programs along the inferred trajectories will then be identified. On the basis of the OneK1K study, B-cell differentiation landscapes are expected to reveal regulatory windows in which specific genes, transcription factors, or inflammatory modules become more strongly associated with pathogenic fates [5]. The trajectory output will therefore serve as a bridge between expression-based state discovery and regulatory prioritization in Aim 2.</w:t>
      </w:r>
    </w:p>
    <w:p>
      <w:pPr>
        <w:pStyle w:val="Heading2"/>
      </w:pPr>
      <w:r>
        <w:t>4.7 Cell-cell communication and inflammatory context</w:t>
      </w:r>
    </w:p>
    <w:p>
      <w:pPr>
        <w:jc w:val="both"/>
      </w:pPr>
      <w:r>
        <w:t>To place pathogenic B-cell states within a broader immune context, ligand-receptor-based communication analysis will be performed using tools such as CellPhoneDB or CellChat. The focus will be on interactions between pathogenic B-cell states and myeloid cells, T-cell compartments, and tissue-associated stromal or epithelial populations where relevant. This step is justified by prior cutaneous lupus work showing increased cell-cell communication in disease lesions and by the EBV study suggesting that APC-like B cells may intensify T-B collaboration [4,7].</w:t>
      </w:r>
    </w:p>
    <w:p>
      <w:pPr>
        <w:jc w:val="both"/>
      </w:pPr>
      <w:r>
        <w:t>Communication analysis will not be used to claim direct causality. Rather, it will identify plausible inflammatory niches in which pathogenic B-cell states are preferentially embedded. Particular attention will be paid to interactions linked to interferon-rich environments, B-cell survival or activation cues, and antigen-presentation-associated signaling.</w:t>
      </w:r>
    </w:p>
    <w:p>
      <w:pPr>
        <w:pStyle w:val="Heading2"/>
      </w:pPr>
      <w:r>
        <w:t>4.8 Integrative regulatory and genetic analysis</w:t>
      </w:r>
    </w:p>
    <w:p>
      <w:pPr>
        <w:jc w:val="both"/>
      </w:pPr>
      <w:r>
        <w:t>Aim 2 will begin by mapping state-specific gene signatures from Aim 1 onto external immune genetic and regulatory resources. First, genes enriched in pathogenic B-cell states will be compared with cell type-specific and dynamic eQTL findings from OneK1K [5], with special attention to loci that vary across the naive-to-memory B-cell trajectory. Second, overlap with B-cell-related eGenes, caPeaks, and regulatory modules in CIMA [6] will be assessed to determine whether top candidate genes fall within broader immune regulatory programs observed at population scale.</w:t>
      </w:r>
    </w:p>
    <w:p>
      <w:pPr>
        <w:jc w:val="both"/>
      </w:pPr>
      <w:r>
        <w:t>Third, candidate regulators highlighted by the mechanistic lupus literature, especially ZEB2-, TBX21-, and FTO-linked programs, will be evaluated for convergence across four evidence layers: (i) state specificity in lupus B cells, (ii) dynamic association along the inferred trajectory, (iii) support from external immune regulatory resources, and (iv) biological plausibility from disease-focused literature [2-4]. The goal is not to prove causality from public data alone, but to rank candidate drivers according to the consistency of evidence across orthogonal data types.</w:t>
      </w:r>
    </w:p>
    <w:p>
      <w:pPr>
        <w:jc w:val="both"/>
      </w:pPr>
      <w:r>
        <w:t>When a state-associated signature maps to loci with multiple plausible neighboring genes, locus-prioritization logic from recent fine-mapping and network studies will be used to improve interpretability. In this proposal, these methods will mainly serve as prioritization guides; full de novo fine-mapping from individual-level data is beyond the initial project scope unless appropriate summary data are available and computationally tractable [9,10].</w:t>
      </w:r>
    </w:p>
    <w:p>
      <w:pPr>
        <w:pStyle w:val="Heading2"/>
      </w:pPr>
      <w:r>
        <w:t>4.9 Phenotype-oriented validation and external contextualization</w:t>
      </w:r>
    </w:p>
    <w:p>
      <w:pPr>
        <w:jc w:val="both"/>
      </w:pPr>
      <w:r>
        <w:t>To strengthen the translational relevance of the project, prioritized pathogenic B-cell signatures will be evaluated in external lupus-related phenotype resources. The first validation layer will use the cutaneous lupus single-cell dataset [7] to assess whether signatures associated with circulating pathogenic B-cell or plasmablast states correspond to interferon-high, plasma-cell-related, or inflammatory tissue compartments. The second validation layer will use the CLUES-based cutaneous manifestation transcriptomic study [8] to determine whether whole-blood or sorted-cell signatures associated with specific rashes show enrichment for B-cell or plasma-cell-linked programs.</w:t>
      </w:r>
    </w:p>
    <w:p>
      <w:pPr>
        <w:jc w:val="both"/>
      </w:pPr>
      <w:r>
        <w:t>This validation strategy is intentionally modest: it does not assume that all blood signatures must reproduce in every tissue phenotype. Instead, it asks whether the most plausible pathogenic B-cell programs show recognizable links to selected lupus-relevant inflammatory contexts. Positive results would strengthen biological credibility, whereas negative or context-restricted results would refine the interpretation of which B-cell states are systemic versus phenotype-specific.</w:t>
      </w:r>
    </w:p>
    <w:p>
      <w:pPr>
        <w:pStyle w:val="Heading2"/>
      </w:pPr>
      <w:r>
        <w:t>4.10 Statistics, software, and reproducibility</w:t>
      </w:r>
    </w:p>
    <w:p>
      <w:pPr>
        <w:jc w:val="both"/>
      </w:pPr>
      <w:r>
        <w:t>All differential analyses will control for multiple testing using false discovery rate correction. Whenever donor-level identifiers are available, donor-aware designs or pseudobulk aggregation will be preferred to cell-level naive testing. Reproducibility will be evaluated at three levels: (i) internal robustness across integration parameters, (ii) cross-dataset consistency of state signatures, and (iii) external support from genetic or regulatory resources. Candidate mechanisms will be ranked by composite evidence rather than by any single metric alone.</w:t>
      </w:r>
    </w:p>
    <w:p>
      <w:pPr>
        <w:jc w:val="both"/>
      </w:pPr>
      <w:r>
        <w:t>The main software environment will consist of R and Python. Representative packages or tools likely to be used include Seurat, Harmony, Scanpy, Scrublet, Monocle3 or Slingshot, fgsea or clusterProfiler, CellPhoneDB or CellChat, and standard data-visualization packages. All code used for the project will be version controlled and organized into a reproducible workflow containing data import, quality control, integration, state annotation, trajectory analysis, communication analysis, and regulatory integration modules. This organization is consistent with the reproducibility expectations visible across the uploaded single-cell and multi-omic studies [1,5-7].</w:t>
      </w:r>
    </w:p>
    <w:p>
      <w:pPr>
        <w:pStyle w:val="Heading2"/>
      </w:pPr>
      <w:r>
        <w:t>4.11 Analytical framework figure</w:t>
      </w:r>
    </w:p>
    <w:p>
      <w:pPr>
        <w:jc w:val="center"/>
      </w:pPr>
      <w:r>
        <w:drawing>
          <wp:inline xmlns:a="http://schemas.openxmlformats.org/drawingml/2006/main" xmlns:pic="http://schemas.openxmlformats.org/drawingml/2006/picture">
            <wp:extent cx="6309360" cy="3143965"/>
            <wp:docPr id="1" name="Picture 1"/>
            <wp:cNvGraphicFramePr>
              <a:graphicFrameLocks noChangeAspect="1"/>
            </wp:cNvGraphicFramePr>
            <a:graphic>
              <a:graphicData uri="http://schemas.openxmlformats.org/drawingml/2006/picture">
                <pic:pic>
                  <pic:nvPicPr>
                    <pic:cNvPr id="0" name="proposal_workflow_figure_v4.png"/>
                    <pic:cNvPicPr/>
                  </pic:nvPicPr>
                  <pic:blipFill>
                    <a:blip r:embed="rId10"/>
                    <a:stretch>
                      <a:fillRect/>
                    </a:stretch>
                  </pic:blipFill>
                  <pic:spPr>
                    <a:xfrm>
                      <a:off x="0" y="0"/>
                      <a:ext cx="6309360" cy="3143965"/>
                    </a:xfrm>
                    <a:prstGeom prst="rect"/>
                  </pic:spPr>
                </pic:pic>
              </a:graphicData>
            </a:graphic>
          </wp:inline>
        </w:drawing>
      </w:r>
    </w:p>
    <w:p>
      <w:pPr>
        <w:jc w:val="left"/>
      </w:pPr>
      <w:r>
        <w:rPr>
          <w:b/>
        </w:rPr>
        <w:t xml:space="preserve">Figure 1. Overall analytical framework of the proposed study. </w:t>
      </w:r>
      <w:r>
        <w:t>Discovery analyses will define pathogenic B-cell states in lupus, after which immune-genetic and multi-omic evidence will be integrated to prioritize candidate drivers and evaluate phenotype relevance. The figure is a proposal-specific schematic rather than a reproduction from any published paper.</w:t>
      </w:r>
    </w:p>
    <w:p>
      <w:pPr>
        <w:pStyle w:val="Heading2"/>
      </w:pPr>
      <w:r>
        <w:t>4.12 Potential difficulties, limitations, and alternative approaches</w:t>
      </w:r>
    </w:p>
    <w:p>
      <w:pPr>
        <w:jc w:val="both"/>
      </w:pPr>
      <w:r>
        <w:t>A first challenge is dataset heterogeneity. Lupus single-cell datasets differ in cohort composition, sequencing chemistry, tissue source, and annotation depth. To address this, the project will emphasize robust state signatures rather than exact cluster equivalence and will evaluate findings both within individual studies and after integration. If one integration strategy obscures rare B-cell states, study-specific analyses will be retained as the primary source of biological interpretation.</w:t>
      </w:r>
    </w:p>
    <w:p>
      <w:pPr>
        <w:jc w:val="both"/>
      </w:pPr>
      <w:r>
        <w:t>A second challenge is that public immune genetic resources are not necessarily derived from lupus patients. This means that regulatory overlap should be interpreted as prioritization evidence rather than definitive proof of lupus-specific causality. The alternative strategy is therefore to require convergence across multiple evidence layers before prioritizing a mechanism. For example, a candidate gene will be considered stronger if it is state-specific in lupus B cells, dynamically associated with trajectory progression, and supported by external immune regulatory data, rather than if it satisfies only one criterion.</w:t>
      </w:r>
    </w:p>
    <w:p>
      <w:pPr>
        <w:jc w:val="both"/>
      </w:pPr>
      <w:r>
        <w:t>A third challenge is that blood-derived signatures may not fully generalize to tissue inflammation. Here, the alternative strategy is not to force a universal model, but to explicitly treat tissue or cutaneous validation as contextualization. If a pathogenic B-cell signature is strongly blood-specific, this will still be informative, provided that the evidence is internally robust and genetically supported.</w:t>
      </w:r>
    </w:p>
    <w:p>
      <w:pPr>
        <w:jc w:val="both"/>
      </w:pPr>
      <w:r>
        <w:t>A final limitation is scope. Full wet-lab validation is beyond the immediate boundaries of this proposal. Accordingly, the present study is framed as a mechanism-prioritization project that will generate testable hypotheses and ranked candidate drivers for future perturbational experiments, targeted profiling, or collaborative validation.</w:t>
      </w:r>
    </w:p>
    <w:p>
      <w:pPr>
        <w:pStyle w:val="Heading2"/>
      </w:pPr>
      <w:r>
        <w:t>4.13 Tentative sequence and timetable</w:t>
      </w:r>
    </w:p>
    <w:p>
      <w:pPr>
        <w:jc w:val="left"/>
      </w:pPr>
      <w:r>
        <w:rPr>
          <w:b/>
        </w:rPr>
        <w:t>TABLE 2. Tentative sequence and timetable for the proposed work.</w:t>
      </w:r>
    </w:p>
    <w:tbl>
      <w:tblPr>
        <w:tblStyle w:val="TableGrid"/>
        <w:tblW w:type="auto" w:w="0"/>
        <w:jc w:val="center"/>
        <w:tblLook w:firstColumn="1" w:firstRow="1" w:lastColumn="0" w:lastRow="0" w:noHBand="0" w:noVBand="1" w:val="04A0"/>
      </w:tblPr>
      <w:tblGrid>
        <w:gridCol w:w="2376"/>
        <w:gridCol w:w="2376"/>
        <w:gridCol w:w="2376"/>
        <w:gridCol w:w="2376"/>
      </w:tblGrid>
      <w:tr>
        <w:trPr>
          <w:tblHeader w:val="true"/>
        </w:trPr>
        <w:tc>
          <w:tcPr>
            <w:tcW w:type="dxa" w:w="2376"/>
            <w:shd w:fill="DCE6F1"/>
            <w:tcMar>
              <w:top w:w="80" w:type="dxa"/>
              <w:start w:w="100" w:type="dxa"/>
              <w:bottom w:w="80" w:type="dxa"/>
              <w:end w:w="100" w:type="dxa"/>
            </w:tcMar>
            <w:vAlign w:val="center"/>
          </w:tcPr>
          <w:p>
            <w:pPr>
              <w:jc w:val="center"/>
            </w:pPr>
            <w:r>
              <w:rPr>
                <w:rFonts w:ascii="Times New Roman" w:hAnsi="Times New Roman" w:eastAsia="Times New Roman"/>
                <w:b/>
                <w:sz w:val="22"/>
              </w:rPr>
              <w:t>Period</w:t>
            </w:r>
          </w:p>
        </w:tc>
        <w:tc>
          <w:tcPr>
            <w:tcW w:type="dxa" w:w="2376"/>
            <w:shd w:fill="DCE6F1"/>
            <w:tcMar>
              <w:top w:w="80" w:type="dxa"/>
              <w:start w:w="100" w:type="dxa"/>
              <w:bottom w:w="80" w:type="dxa"/>
              <w:end w:w="100" w:type="dxa"/>
            </w:tcMar>
            <w:vAlign w:val="center"/>
          </w:tcPr>
          <w:p>
            <w:pPr>
              <w:jc w:val="center"/>
            </w:pPr>
            <w:r>
              <w:rPr>
                <w:rFonts w:ascii="Times New Roman" w:hAnsi="Times New Roman" w:eastAsia="Times New Roman"/>
                <w:b/>
                <w:sz w:val="22"/>
              </w:rPr>
              <w:t>Focus</w:t>
            </w:r>
          </w:p>
        </w:tc>
        <w:tc>
          <w:tcPr>
            <w:tcW w:type="dxa" w:w="2376"/>
            <w:shd w:fill="DCE6F1"/>
            <w:tcMar>
              <w:top w:w="80" w:type="dxa"/>
              <w:start w:w="100" w:type="dxa"/>
              <w:bottom w:w="80" w:type="dxa"/>
              <w:end w:w="100" w:type="dxa"/>
            </w:tcMar>
            <w:vAlign w:val="center"/>
          </w:tcPr>
          <w:p>
            <w:pPr>
              <w:jc w:val="center"/>
            </w:pPr>
            <w:r>
              <w:rPr>
                <w:rFonts w:ascii="Times New Roman" w:hAnsi="Times New Roman" w:eastAsia="Times New Roman"/>
                <w:b/>
                <w:sz w:val="22"/>
              </w:rPr>
              <w:t>Main tasks</w:t>
            </w:r>
          </w:p>
        </w:tc>
        <w:tc>
          <w:tcPr>
            <w:tcW w:type="dxa" w:w="2376"/>
            <w:shd w:fill="DCE6F1"/>
            <w:tcMar>
              <w:top w:w="80" w:type="dxa"/>
              <w:start w:w="100" w:type="dxa"/>
              <w:bottom w:w="80" w:type="dxa"/>
              <w:end w:w="100" w:type="dxa"/>
            </w:tcMar>
            <w:vAlign w:val="center"/>
          </w:tcPr>
          <w:p>
            <w:pPr>
              <w:jc w:val="center"/>
            </w:pPr>
            <w:r>
              <w:rPr>
                <w:rFonts w:ascii="Times New Roman" w:hAnsi="Times New Roman" w:eastAsia="Times New Roman"/>
                <w:b/>
                <w:sz w:val="22"/>
              </w:rPr>
              <w:t>Deliverables</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1-2</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Data assembly</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Download and organize public datasets; harmonize metadata; establish reproducible analysis environment</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Curated data inventory</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3-4</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Aim 1 state discovery</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Quality control, integration, B-cell re-clustering, marker-based annotation, signature definition</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Draft B-cell atlas</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5-6</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Transition analysis</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Pseudotime or trajectory inference, pathway scoring, communication analysis</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State transition model</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7-8</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Aim 2 integration</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Overlay with OneK1K and CIMA; prioritize candidate drivers and modules</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Ranked regulatory shortlist</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9-10</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External validation</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Cutaneous lupus contextualization and phenotype-oriented signature testing</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Cross-context validation summary</w:t>
            </w:r>
          </w:p>
        </w:tc>
      </w:tr>
      <w:tr>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Months 11-12</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Writing and refinement</w:t>
            </w:r>
          </w:p>
        </w:tc>
        <w:tc>
          <w:tcPr>
            <w:tcW w:type="dxa" w:w="2376"/>
            <w:tcMar>
              <w:top w:w="80" w:type="dxa"/>
              <w:start w:w="100" w:type="dxa"/>
              <w:bottom w:w="80" w:type="dxa"/>
              <w:end w:w="100" w:type="dxa"/>
            </w:tcMar>
            <w:vAlign w:val="center"/>
          </w:tcPr>
          <w:p>
            <w:pPr>
              <w:jc w:val="left"/>
            </w:pPr>
            <w:r>
              <w:rPr>
                <w:rFonts w:ascii="Times New Roman" w:hAnsi="Times New Roman" w:eastAsia="Times New Roman"/>
                <w:sz w:val="21"/>
              </w:rPr>
              <w:t>Interpretation, figure generation, proposal- or manuscript-style write-up</w:t>
            </w:r>
          </w:p>
        </w:tc>
        <w:tc>
          <w:tcPr>
            <w:tcW w:type="dxa" w:w="2376"/>
            <w:tcMar>
              <w:top w:w="80" w:type="dxa"/>
              <w:start w:w="100" w:type="dxa"/>
              <w:bottom w:w="80" w:type="dxa"/>
              <w:end w:w="100" w:type="dxa"/>
            </w:tcMar>
            <w:vAlign w:val="center"/>
          </w:tcPr>
          <w:p>
            <w:pPr>
              <w:jc w:val="center"/>
            </w:pPr>
            <w:r>
              <w:rPr>
                <w:rFonts w:ascii="Times New Roman" w:hAnsi="Times New Roman" w:eastAsia="Times New Roman"/>
                <w:sz w:val="21"/>
              </w:rPr>
              <w:t>Final report and presentation</w:t>
            </w:r>
          </w:p>
        </w:tc>
      </w:tr>
    </w:tbl>
    <w:p/>
    <w:p>
      <w:pPr>
        <w:pStyle w:val="Heading2"/>
      </w:pPr>
      <w:r>
        <w:t>4.14 Expected results and significance</w:t>
      </w:r>
    </w:p>
    <w:p>
      <w:pPr>
        <w:jc w:val="both"/>
      </w:pPr>
      <w:r>
        <w:t>The primary expected result of Aim 1 is a refined and interpretable atlas of pathogenic lupus B-cell states. I expect to recover at least four biologically meaningful compartments relevant to the proposal: activated memory-like B cells, ABC/DN2-like B cells, plasmablast-associated states, and APC-like B-cell states. I further expect that these states will not be entirely discrete, but will form one or more transition axes, most likely connecting antigen-experienced memory compartments to ABC/DN2-like and plasmablast-associated outcomes.</w:t>
      </w:r>
    </w:p>
    <w:p>
      <w:pPr>
        <w:jc w:val="both"/>
      </w:pPr>
      <w:r>
        <w:t>The primary expected result of Aim 2 is a prioritized regulatory model explaining which genes and pathways are most plausibly involved in establishing or stabilizing pathogenic B-cell states. On the basis of the uploaded literature, I expect ZEB2-related specification modules, TLR7-FTO-metabolic programs, and inflammatory activation modules linked to antigen presentation and interferon-rich contexts to emerge as particularly strong candidates [2-4]. I also expect that additional candidates may arise from external immune-genetic resources, especially when state-specific signatures are overlaid onto dynamic B-cell eQTL or B-cell regulatory-network evidence [5,6].</w:t>
      </w:r>
    </w:p>
    <w:p>
      <w:pPr>
        <w:jc w:val="both"/>
      </w:pPr>
      <w:r>
        <w:t>Biologically, the project is expected to contribute a more coherent picture of how lupus B-cell heterogeneity is organized. Methodologically, it is expected to demonstrate how single-cell state discovery can be strengthened by public immune-genetic resources. Translationally, it is expected to generate a shortlist of mechanisms that are better prioritized than simple differentially expressed markers because they are supported by multiple layers of evidence. In this sense, the proposal addresses a clear problem in the field and provides a realistic path toward a biologically interpretable solution.</w:t>
      </w:r>
    </w:p>
    <w:p>
      <w:pPr>
        <w:pStyle w:val="Heading1"/>
      </w:pPr>
      <w:r>
        <w:t>5. Bibliography</w:t>
      </w:r>
    </w:p>
    <w:p>
      <w:pPr>
        <w:spacing w:after="60"/>
        <w:ind w:left="0"/>
        <w:jc w:val="both"/>
      </w:pPr>
      <w:r>
        <w:t>[1] Richard K. Perez, M. Grace Gordon, Meena Subramaniam, Min Cheol Kim, George C. Hartoularos, Sasha Targ, Yang Sun, Anton Ogorodnikov, Raymund Bueno, Andrew Lu, Mike Thompson, Nadav Rappoport, Andrew Dahl, Cristina M. Lanata, Mehrdad Matloubian, Lenka Maliskova, Serena S. Kwek, Tony Li, Michal Slyper, Julia Waldman, Danielle Dionne, Orit Rozenblatt-Rosen, Lawrence Fong, Maria Dall'Era, Brunilda Balliu, Aviv Regev, Jinoos Yazdany, Lindsey A. Criswell, Noah Zaitlen, Chun Jimmie Ye. Single-cell RNA-seq reveals cell type-specific molecular and genetic associations to lupus. Science 376, eabf1970 (2022).</w:t>
      </w:r>
    </w:p>
    <w:p>
      <w:pPr>
        <w:spacing w:after="60"/>
        <w:ind w:left="0"/>
        <w:jc w:val="both"/>
      </w:pPr>
      <w:r>
        <w:t>[2] Dai Dai, Shuangshuang Gu, Xiaxia Han, Huihua Ding, Yang Jiang, Xiaoou Zhang, Chao Yao, Soonmin Hong, Jinsong Zhang, Yiwei Shen, Guojun Hou, Bo Qu, Haibo Zhou, Yuting Qin, Yuke He, Jianyang Ma, Zhihua Yin, Zhizhong Ye, Jie Qian, Qian Jiang, Lihua Wu, Qiang Guo, Sheng Chen, Chuanxin Huang, Leah C. Kottyan, Matthew T. Weirauch, Carola G. Vinuesa, Nan Shen. The transcription factor ZEB2 drives the formation of age-associated B cells. Science 383, 413-421 (2024).</w:t>
      </w:r>
    </w:p>
    <w:p>
      <w:pPr>
        <w:spacing w:after="60"/>
        <w:ind w:left="0"/>
        <w:jc w:val="both"/>
      </w:pPr>
      <w:r>
        <w:t>[3] Qin Zeng, Lin Li, Xue Li, Linmang Qin, Tianxiao Feng, Yunfeng Zhu, Jieying Wang, Yaoyao Zou, Jianling Su, Guangfu Dong, Wuzheng Xia, Ting Xu, Guangfeng Zhang, Yang Cui, Haobo Lin, Xin Li, Yang Li. The m6A demethylase FTO links TLR7 to mitochondrial oxidation driving age-associated B cell formation in systemic lupus erythematosus. Science Translational Medicine 17, eadu6015 (2025).</w:t>
      </w:r>
    </w:p>
    <w:p>
      <w:pPr>
        <w:spacing w:after="60"/>
        <w:ind w:left="0"/>
        <w:jc w:val="both"/>
      </w:pPr>
      <w:r>
        <w:t>[4] Shady Younis, Salvinaz I. Moutusy, Sajede Rasouli, Shaghayegh Jahanbani, Mahesh Pandit, Xiaohao Wu, Suman Acharya, Orr Sharpe, Tilini U. Wijeratne, Marlayna L. Harris, Emily Y. Yang, Yashaar Chaichian, Shima Parsafar, Matthew C. Baker, John B. Harley, Eric Meffre, Lawrence Steinman, Ann Marshak-Rothstein, Judith A. James, Olivia M. Martinez, Paul J. Utz, Dana E. Orange, Tobias V. Lanz, William H. Robinson. Epstein-Barr virus reprograms autoreactive B cells as antigen-presenting cells in systemic lupus erythematosus. Science Translational Medicine 17, eady0210 (2025).</w:t>
      </w:r>
    </w:p>
    <w:p>
      <w:pPr>
        <w:spacing w:after="60"/>
        <w:ind w:left="0"/>
        <w:jc w:val="both"/>
      </w:pPr>
      <w:r>
        <w:t>[5] Seyhan Yazar, Jose Alquicira-Hernandez, Kristof Wing, Anne Senabouth, M. Grace Gordon, Stacey Andersen, Qinyi Lu, Antonia Rowson, Thomas R. P. Taylor, Linda Clarke, Katia Maccora, Christine Chen, Anthony L. Cook, Chun Jimmie Ye, Kirsten A. Fairfax, Alex W. Hewitt, Joseph E. Powell. Single-cell eQTL mapping identifies cell type-specific genetic control of autoimmune disease. Science 376, eabf3041 (2022).</w:t>
      </w:r>
    </w:p>
    <w:p>
      <w:pPr>
        <w:spacing w:after="60"/>
        <w:ind w:left="0"/>
        <w:jc w:val="both"/>
      </w:pPr>
      <w:r>
        <w:t>[6] Jianhua Yin, Yuhui Zheng, Zhuoli Huang, Wenwen Zhou, Yue Yuan, Pengfei Cai, Yong Bai, et al. Chinese Immune Multi-Omics Atlas. Science 391, eadt3130 (2026).</w:t>
      </w:r>
    </w:p>
    <w:p>
      <w:pPr>
        <w:spacing w:after="60"/>
        <w:ind w:left="0"/>
        <w:jc w:val="both"/>
      </w:pPr>
      <w:r>
        <w:t>[7] Meiling Zheng, Zhi Hu, Xiaole Mei, Lianlian Ouyang, Yang Song, Wenhui Zhou, Yi Kong, Ruifang Wu, Shijia Rao, Hai Long, Wei Shi, Hui Jing, Shuang Lu, Haijing Wu, Sujie Jia, Qianjin Lu, Ming Zhao. Single-cell sequencing shows cellular heterogeneity of cutaneous lesions in lupus erythematosus. Nature Communications 13, 7489 (2022).</w:t>
      </w:r>
    </w:p>
    <w:p>
      <w:pPr>
        <w:spacing w:after="60"/>
        <w:ind w:left="0"/>
        <w:jc w:val="both"/>
      </w:pPr>
      <w:r>
        <w:t>[8] Ernest Y. Lee, Sarah Patterson, Zachary Cutts, Cristina M. Lanata, Maria Dall'Era, Jinoos Yazdany, Lindsey A. Criswell, Anna Haemel, Patricia Katz, Chun Jimmie Ye, Charles Langelier, Marina Sirota. Transcriptomic analysis reveals immune signatures associated with specific cutaneous manifestations of lupus in systemic lupus erythematosus. bioRxiv 2025.04.27.649460 (2025).</w:t>
      </w:r>
    </w:p>
    <w:p>
      <w:pPr>
        <w:spacing w:after="60"/>
        <w:ind w:left="0"/>
        <w:jc w:val="both"/>
      </w:pPr>
      <w:r>
        <w:t>[9] Jordan Rossen, Huwenbo Shi, Benjamin J. Strober, Martin Jinye Zhang, Masahiro Kanai, Zachary R. McCaw, Liming Liang, Omer Weissbrod, Alkes L. Price. MultiSuSiE improves multi-ancestry fine-mapping in All of Us whole-genome sequencing data. Nature Genetics 58, 67-76 (2026).</w:t>
      </w:r>
    </w:p>
    <w:p>
      <w:pPr>
        <w:spacing w:after="60"/>
        <w:ind w:left="0"/>
        <w:jc w:val="both"/>
      </w:pPr>
      <w:r>
        <w:t>[10] Jinghui Li, Yang I. Li, Xuanyao Liu. Protein-protein interactions shape trans-regulatory impact of genetic variation on protein expression and complex traits. Nature Genetics 58, 77-87 (2026).</w:t>
      </w:r>
    </w:p>
    <w:sectPr w:rsidR="00FC693F" w:rsidRPr="0006063C" w:rsidSect="00034616">
      <w:footerReference w:type="default" r:id="rId9"/>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Chen Zhi | MBI6013 Research Proposal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B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B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