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color w:val="1F3A5F"/>
          <w:sz w:val="30"/>
        </w:rPr>
        <w:t>MBI6013 Research Proposal</w:t>
      </w:r>
    </w:p>
    <w:p>
      <w:pPr>
        <w:spacing w:after="360"/>
        <w:jc w:val="center"/>
      </w:pPr>
      <w:r>
        <w:rPr>
          <w:rFonts w:ascii="Times New Roman" w:hAnsi="Times New Roman" w:eastAsia="Times New Roman"/>
          <w:b/>
          <w:sz w:val="32"/>
        </w:rPr>
        <w:t>Deciphering Single-Cell Multi-Omic and Genetic Regulatory Programs</w:t>
        <w:br/>
        <w:t>of Pathogenic B-Cell States in Systemic Lupus Erythematosus</w:t>
      </w:r>
    </w:p>
    <w:tbl>
      <w:tblPr>
        <w:tblStyle w:val="TableGrid"/>
        <w:tblW w:type="auto" w:w="0"/>
        <w:jc w:val="center"/>
        <w:tblLook w:firstColumn="1" w:firstRow="1" w:lastColumn="0" w:lastRow="0" w:noHBand="0" w:noVBand="1" w:val="04A0"/>
      </w:tblPr>
      <w:tblGrid>
        <w:gridCol w:w="4680"/>
        <w:gridCol w:w="4680"/>
      </w:tblGrid>
      <w:tr>
        <w:tc>
          <w:tcPr>
            <w:tcW w:type="dxa" w:w="2592"/>
            <w:vAlign w:val="center"/>
          </w:tcPr>
          <w:p>
            <w:pPr>
              <w:jc w:val="left"/>
            </w:pPr>
            <w:r/>
            <w:r>
              <w:rPr>
                <w:rFonts w:ascii="Times New Roman" w:hAnsi="Times New Roman" w:eastAsia="Times New Roman"/>
                <w:b/>
                <w:sz w:val="21"/>
              </w:rPr>
              <w:t>Student</w:t>
            </w:r>
          </w:p>
        </w:tc>
        <w:tc>
          <w:tcPr>
            <w:tcW w:type="dxa" w:w="6192"/>
            <w:vAlign w:val="center"/>
          </w:tcPr>
          <w:p>
            <w:pPr>
              <w:jc w:val="left"/>
            </w:pPr>
            <w:r/>
            <w:r>
              <w:rPr>
                <w:rFonts w:ascii="Times New Roman" w:hAnsi="Times New Roman" w:eastAsia="Times New Roman"/>
                <w:b w:val="0"/>
                <w:sz w:val="21"/>
              </w:rPr>
              <w:t>Chen Zhi</w:t>
            </w:r>
          </w:p>
        </w:tc>
      </w:tr>
      <w:tr>
        <w:tc>
          <w:tcPr>
            <w:tcW w:type="dxa" w:w="2592"/>
            <w:vAlign w:val="center"/>
          </w:tcPr>
          <w:p>
            <w:pPr>
              <w:jc w:val="left"/>
            </w:pPr>
            <w:r/>
            <w:r>
              <w:rPr>
                <w:rFonts w:ascii="Times New Roman" w:hAnsi="Times New Roman" w:eastAsia="Times New Roman"/>
                <w:b/>
                <w:sz w:val="21"/>
              </w:rPr>
              <w:t>Student ID</w:t>
            </w:r>
          </w:p>
        </w:tc>
        <w:tc>
          <w:tcPr>
            <w:tcW w:type="dxa" w:w="6192"/>
            <w:vAlign w:val="center"/>
          </w:tcPr>
          <w:p>
            <w:pPr>
              <w:jc w:val="left"/>
            </w:pPr>
            <w:r/>
            <w:r>
              <w:rPr>
                <w:rFonts w:ascii="Times New Roman" w:hAnsi="Times New Roman" w:eastAsia="Times New Roman"/>
                <w:b w:val="0"/>
                <w:sz w:val="21"/>
              </w:rPr>
              <w:t>225050069</w:t>
            </w:r>
          </w:p>
        </w:tc>
      </w:tr>
      <w:tr>
        <w:tc>
          <w:tcPr>
            <w:tcW w:type="dxa" w:w="2592"/>
            <w:vAlign w:val="center"/>
          </w:tcPr>
          <w:p>
            <w:pPr>
              <w:jc w:val="left"/>
            </w:pPr>
            <w:r/>
            <w:r>
              <w:rPr>
                <w:rFonts w:ascii="Times New Roman" w:hAnsi="Times New Roman" w:eastAsia="Times New Roman"/>
                <w:b/>
                <w:sz w:val="21"/>
              </w:rPr>
              <w:t>Department</w:t>
            </w:r>
          </w:p>
        </w:tc>
        <w:tc>
          <w:tcPr>
            <w:tcW w:type="dxa" w:w="6192"/>
            <w:vAlign w:val="center"/>
          </w:tcPr>
          <w:p>
            <w:pPr>
              <w:jc w:val="left"/>
            </w:pPr>
            <w:r/>
            <w:r>
              <w:rPr>
                <w:rFonts w:ascii="Times New Roman" w:hAnsi="Times New Roman" w:eastAsia="Times New Roman"/>
                <w:b w:val="0"/>
                <w:sz w:val="21"/>
              </w:rPr>
              <w:t>Graduate Program in Bioinformatics</w:t>
            </w:r>
          </w:p>
        </w:tc>
      </w:tr>
      <w:tr>
        <w:tc>
          <w:tcPr>
            <w:tcW w:type="dxa" w:w="2592"/>
            <w:vAlign w:val="center"/>
          </w:tcPr>
          <w:p>
            <w:pPr>
              <w:jc w:val="left"/>
            </w:pPr>
            <w:r/>
            <w:r>
              <w:rPr>
                <w:rFonts w:ascii="Times New Roman" w:hAnsi="Times New Roman" w:eastAsia="Times New Roman"/>
                <w:b/>
                <w:sz w:val="21"/>
              </w:rPr>
              <w:t>Institution</w:t>
            </w:r>
          </w:p>
        </w:tc>
        <w:tc>
          <w:tcPr>
            <w:tcW w:type="dxa" w:w="6192"/>
            <w:vAlign w:val="center"/>
          </w:tcPr>
          <w:p>
            <w:pPr>
              <w:jc w:val="left"/>
            </w:pPr>
            <w:r/>
            <w:r>
              <w:rPr>
                <w:rFonts w:ascii="Times New Roman" w:hAnsi="Times New Roman" w:eastAsia="Times New Roman"/>
                <w:b w:val="0"/>
                <w:sz w:val="21"/>
              </w:rPr>
              <w:t>The Chinese University of Hong Kong, Shenzhen</w:t>
            </w:r>
          </w:p>
        </w:tc>
      </w:tr>
      <w:tr>
        <w:tc>
          <w:tcPr>
            <w:tcW w:type="dxa" w:w="2592"/>
            <w:vAlign w:val="center"/>
          </w:tcPr>
          <w:p>
            <w:pPr>
              <w:jc w:val="left"/>
            </w:pPr>
            <w:r/>
            <w:r>
              <w:rPr>
                <w:rFonts w:ascii="Times New Roman" w:hAnsi="Times New Roman" w:eastAsia="Times New Roman"/>
                <w:b/>
                <w:sz w:val="21"/>
              </w:rPr>
              <w:t>Mentor</w:t>
            </w:r>
          </w:p>
        </w:tc>
        <w:tc>
          <w:tcPr>
            <w:tcW w:type="dxa" w:w="6192"/>
            <w:vAlign w:val="center"/>
          </w:tcPr>
          <w:p>
            <w:pPr>
              <w:jc w:val="left"/>
            </w:pPr>
            <w:r/>
            <w:r>
              <w:rPr>
                <w:rFonts w:ascii="Times New Roman" w:hAnsi="Times New Roman" w:eastAsia="Times New Roman"/>
                <w:b w:val="0"/>
                <w:sz w:val="21"/>
              </w:rPr>
              <w:t>Prof. Yongfei Wang</w:t>
            </w:r>
          </w:p>
        </w:tc>
      </w:tr>
      <w:tr>
        <w:tc>
          <w:tcPr>
            <w:tcW w:type="dxa" w:w="2592"/>
            <w:vAlign w:val="center"/>
          </w:tcPr>
          <w:p>
            <w:pPr>
              <w:jc w:val="left"/>
            </w:pPr>
            <w:r/>
            <w:r>
              <w:rPr>
                <w:rFonts w:ascii="Times New Roman" w:hAnsi="Times New Roman" w:eastAsia="Times New Roman"/>
                <w:b/>
                <w:sz w:val="21"/>
              </w:rPr>
              <w:t>Date</w:t>
            </w:r>
          </w:p>
        </w:tc>
        <w:tc>
          <w:tcPr>
            <w:tcW w:type="dxa" w:w="6192"/>
            <w:vAlign w:val="center"/>
          </w:tcPr>
          <w:p>
            <w:pPr>
              <w:jc w:val="left"/>
            </w:pPr>
            <w:r/>
            <w:r>
              <w:rPr>
                <w:rFonts w:ascii="Times New Roman" w:hAnsi="Times New Roman" w:eastAsia="Times New Roman"/>
                <w:b w:val="0"/>
                <w:sz w:val="21"/>
              </w:rPr>
              <w:t>April 2026</w:t>
            </w:r>
          </w:p>
        </w:tc>
      </w:tr>
    </w:tbl>
    <w:p/>
    <w:p>
      <w:pPr>
        <w:spacing w:line="288" w:lineRule="auto" w:after="0"/>
      </w:pPr>
      <w:r>
        <w:t>Project overview. This proposal grew out of a practical dissatisfaction with how lupus B-cell biology is currently being discussed. We now have large single-cell datasets, stronger mechanistic work on ABC-like states, and increasingly rich immune-genetic resources, but these advances still tend to answer separate questions. We can describe the states; in some cases we can perturb a candidate regulator; elsewhere we can map cell-type-specific regulatory effects. What remains less clear is how to connect these observations into a workable account of which pathogenic B-cell states in SLE actually matter most and what sustains them [1-6]. I therefore frame the project around a narrower but more useful objective: to reconstruct the pathogenic B-cell landscape in SLE from public datasets and then ask which regulatory programs remain convincing once transcriptomic, genetic, and multi-omic evidence are considered together. The project is intentionally computational and deliberately scoped. That is not simply a concession to feasibility. It is also the right way to ask this question at the present moment, because the immediate bottleneck is no longer the absence of data, but the lack of an integrated interpretation.</w:t>
      </w:r>
    </w:p>
    <w:p>
      <w:r>
        <w:br w:type="page"/>
      </w:r>
    </w:p>
    <w:p>
      <w:pPr>
        <w:pStyle w:val="Heading1"/>
      </w:pPr>
      <w:r>
        <w:t>1. Background and Significance</w:t>
      </w:r>
    </w:p>
    <w:p>
      <w:pPr>
        <w:spacing w:after="80" w:before="0" w:line="300" w:lineRule="auto"/>
        <w:ind w:firstLine="346"/>
      </w:pPr>
      <w:r>
        <w:t>Systemic lupus erythematosus is often introduced as a heterogeneous autoimmune disease, but that familiar line can conceal the real scientific difficulty. The issue is not simply that patients differ from one another. The harder problem is that the same broad clinical label appears to contain multiple immune processes that overlap in some individuals, dominate in others, and do not necessarily respond to treatment in the same way. Type I interferon activity, autoantibody production, and aberrant lymphocyte activation are all well-established features of lupus, yet these descriptors remain too coarse to explain why disease behaves so unevenly across patients. For that reason, the move toward single-cell analysis has been more than a technical upgrade; it has changed the level at which the disease can be framed [1].</w:t>
      </w:r>
    </w:p>
    <w:p>
      <w:pPr>
        <w:spacing w:after="80" w:before="0" w:line="300" w:lineRule="auto"/>
        <w:ind w:firstLine="346"/>
      </w:pPr>
      <w:r>
        <w:t>B cells are the most compelling place to focus that question. Their importance in lupus is obvious at one level because autoantibody production remains a defining feature of the disease. But their relevance runs deeper than antibody secretion alone. B cells present antigen, shape inflammatory crosstalk, integrate innate sensing with adaptive responses, and occupy several of the transitions that seem to matter most in lupus immunopathology. What makes them especially interesting now is that recent work no longer supports the idea of one aberrant lupus B-cell subset. Instead, the literature increasingly points to a set of related pathogenic states - activated memory-like cells, ABCs, DN2-like populations, plasmablast-associated compartments, and antigen-presentation-oriented programs - that appear to sit along a broader pathogenic landscape rather than as isolated cell types [1-4].</w:t>
      </w:r>
    </w:p>
    <w:p>
      <w:pPr>
        <w:spacing w:after="80" w:before="0" w:line="300" w:lineRule="auto"/>
        <w:ind w:firstLine="346"/>
      </w:pPr>
      <w:r>
        <w:rPr>
          <w:rFonts w:ascii="Times New Roman" w:hAnsi="Times New Roman"/>
          <w:sz w:val="24"/>
        </w:rPr>
        <w:t>The mechanistic literature has made that interpretation harder to dismiss. Dai et al. showed that ZEB2 is not merely enriched in ABCs, but required for their differentiation in both human and mouse systems, arguing that the ABC program is under active transcriptional control rather than being a passive end-state of activation [2]. Zeng et al. then linked TLR7-driven ABC formation to FTO, ATP6V1G1-dependent lysosomal function, and mitochondrial oxidative metabolism, which places metabolic wiring directly inside the problem of pathogenic B-cell fate choice [3]. Younis et al. added another layer by showing that EBV-positive B cells in SLE are largely CD27+CD21low memory B cells with APC-like transcriptional features and linked this reprogramming to upregulation of ZEB2, TBX21, and antigen-presentation pathways [4]. Taken together, these studies suggest that what sometimes look like separate lupus observations may instead reflect overlapping regulatory circuits involving innate sensing, inflammatory activation, and altered B-cell differentiation.</w:t>
      </w:r>
    </w:p>
    <w:p>
      <w:pPr>
        <w:spacing w:after="80" w:before="0" w:line="300" w:lineRule="auto"/>
        <w:ind w:firstLine="346"/>
      </w:pPr>
      <w:r>
        <w:rPr>
          <w:rFonts w:ascii="Times New Roman" w:hAnsi="Times New Roman"/>
          <w:sz w:val="24"/>
        </w:rPr>
        <w:t>The large human lupus single-cell datasets support the need to think at that level. Perez et al. profiled more than 1.2 million PBMCs from SLE cases and controls and showed that disease status is associated not only with shifts in immune composition but with cell-type-specific transcriptional states and cell-type-specific cis-eQTL effects [1]. That study is often cited for its monocyte interferon signal, and rightly so, but its broader implication is just as important: lupus cannot be understood adequately through bulk averages or broad immune categories once state structure and genetic context become visible at single-cell resolution. That lesson is especially relevant for B cells, where activation and differentiation are strongly state-dependent and may easily be blurred in coarse compartments.</w:t>
      </w:r>
    </w:p>
    <w:p>
      <w:pPr>
        <w:spacing w:after="80" w:before="0" w:line="300" w:lineRule="auto"/>
        <w:ind w:firstLine="346"/>
      </w:pPr>
      <w:r>
        <w:rPr>
          <w:rFonts w:ascii="Times New Roman" w:hAnsi="Times New Roman"/>
          <w:sz w:val="24"/>
        </w:rPr>
        <w:t>A second reason the present project is timely is that the external resources needed to move beyond description now exist. OneK1K mapped single-cell eQTLs in 1.27 million PBMCs from 982 donors and identified dynamic allelic effects across the transition from immature or naive to memory B cells, showing that the B-cell landscape is genetically structured even along what might otherwise look like familiar differentiation paths [5]. CIMA extends that logic in a Chinese population context by combining scRNA-seq, scATAC-seq, WGS, gene regulatory networks, caQTLs, and GWAS-integrated associations, including dynamic regulatory effects in B cells [6]. These resources make it possible to ask a sharper question than earlier lupus studies could ask: not only which genes mark a pathogenic B-cell state, but which regulatory programs and genetically supported mechanisms are most likely to drive it.</w:t>
      </w:r>
    </w:p>
    <w:p>
      <w:pPr>
        <w:spacing w:after="80" w:before="0" w:line="300" w:lineRule="auto"/>
        <w:ind w:firstLine="346"/>
      </w:pPr>
      <w:r>
        <w:rPr>
          <w:rFonts w:ascii="Times New Roman" w:hAnsi="Times New Roman"/>
          <w:sz w:val="24"/>
        </w:rPr>
        <w:t>There is also now enough tissue-oriented evidence to keep a blood-based analysis from becoming isolated from disease phenotype. In cutaneous lupus lesions, Zheng et al. identified interferon-high subclusters, increased immune infiltration, and active stromal-immune communication, with meaningful differences between discoid lupus and SLE lesions [7]. The CLUES-based transcriptomic study by Lee et al. further connected specific skin manifestations to pathway-level differences and to shifts in circulating B-cell or plasma-cell enrichment, particularly in discoid lupus and mucosal ulceration [8]. I do not take these studies to mean that blood and tissue should be treated as interchangeable. I take them instead as evidence that a blood-derived B-cell program can be judged, at least in part, by whether it makes biological sense in a broader disease context.</w:t>
      </w:r>
    </w:p>
    <w:p>
      <w:pPr>
        <w:spacing w:after="80" w:before="0" w:line="300" w:lineRule="auto"/>
        <w:ind w:firstLine="346"/>
      </w:pPr>
      <w:r>
        <w:rPr>
          <w:rFonts w:ascii="Times New Roman" w:hAnsi="Times New Roman"/>
          <w:sz w:val="24"/>
        </w:rPr>
        <w:t>What is missing, then, is not another catalogue of lupus-associated cell states. The field already has many such catalogues. What it still lacks is a coherent way to link three levels of explanation that are usually discussed separately: the state structure of pathogenic B-cell populations, the mechanisms that stabilize or redirect those states, and the independent genetic or regulatory evidence that bears on those mechanisms. That is the gap this proposal is intended to address. The goal is not to claim final causality from public data alone, but to narrow the problem to a smaller set of B-cell states and candidate regulatory programs that can be defended both biologically and analytically.</w:t>
      </w:r>
    </w:p>
    <w:p>
      <w:pPr>
        <w:pStyle w:val="Heading1"/>
      </w:pPr>
      <w:r>
        <w:t>2. Specific Aims</w:t>
      </w:r>
    </w:p>
    <w:p>
      <w:pPr>
        <w:spacing w:after="80" w:before="0" w:line="300" w:lineRule="auto"/>
        <w:ind w:firstLine="346"/>
      </w:pPr>
      <w:r>
        <w:t>Central hypothesis. My working hypothesis is that the B-cell populations that keep reappearing across lupus studies - ABC/DN2-like cells, activated memory-like populations, plasmablast-associated states, and APC-like B-cell programs - are best understood as related pathogenic states rather than as unrelated findings. I further expect that these states are maintained by a partly overlapping set of inputs, especially innate sensing, interferon-linked activation, and cell-state-specific regulatory effects that become visible only when transcriptomic structure is read together with external immune-genetic evidence. This is a hypothesis about organization as much as mechanism. If it is correct, the same candidate programs should continue to surface across more than one dataset and more than one analytical layer, rather than depending on a single clustering result or a single paper.</w:t>
      </w:r>
    </w:p>
    <w:p>
      <w:pPr>
        <w:pStyle w:val="Heading2"/>
      </w:pPr>
      <w:r>
        <w:t>Aim 1. Define the cellular landscape and transition structure of pathogenic B-cell states in SLE using public single-cell datasets.</w:t>
      </w:r>
    </w:p>
    <w:p>
      <w:pPr>
        <w:spacing w:after="80" w:before="0" w:line="300" w:lineRule="auto"/>
        <w:ind w:firstLine="346"/>
      </w:pPr>
      <w:r>
        <w:t>Why this aim matters. The proposal stands or falls on whether the B-cell state map is believable. In lupus, that is not a trivial starting point. The populations people care about are close to one another transcriptionally, and the labels used across papers sometimes overlap without fully matching. If I move too quickly to mechanism, I risk treating annotation artifacts as biology. For that reason, I regard Aim 1 as the critical grounding step of the project, not as a descriptive prelude. Before asking what drives a pathogenic state, I need to know which states are actually reproducible, where the boundaries are soft, and which parts of the landscape are better interpreted as transitions than as discrete compartments [1,7].</w:t>
      </w:r>
    </w:p>
    <w:p>
      <w:pPr>
        <w:spacing w:after="80" w:before="0" w:line="300" w:lineRule="auto"/>
        <w:ind w:firstLine="346"/>
      </w:pPr>
      <w:r>
        <w:rPr>
          <w:rFonts w:ascii="Times New Roman" w:hAnsi="Times New Roman"/>
          <w:sz w:val="24"/>
        </w:rPr>
        <w:t>What I will do. I will assemble a B-cell-focused atlas from public lupus single-cell datasets and annotate the major states most relevant to pathogenic autoreactivity, including ABC/DN2-like cells, activated memory-like populations, plasmablast-associated states, and APC-like B-cell programs. I will then examine how these states relate to one another through pathway activity, transition structure, and inflammatory context rather than treating them as isolated clusters from the outset.</w:t>
      </w:r>
    </w:p>
    <w:p>
      <w:pPr>
        <w:spacing w:after="80" w:before="0" w:line="300" w:lineRule="auto"/>
        <w:ind w:firstLine="346"/>
      </w:pPr>
      <w:r>
        <w:rPr>
          <w:rFonts w:ascii="Times New Roman" w:hAnsi="Times New Roman"/>
          <w:sz w:val="24"/>
        </w:rPr>
        <w:t>What I expect to learn. The immediate result of Aim 1 should be a harmonized map of lupus-associated B-cell states, including the signatures that distinguish them and the transition axes that connect them. More importantly, Aim 1 should clarify which state boundaries are robust and which are better understood as gradients or branches. That distinction matters because the regulatory interpretation in Aim 2 will only be persuasive if it is anchored in a state structure that is biologically defensible rather than over-discretized.</w:t>
      </w:r>
    </w:p>
    <w:p>
      <w:pPr>
        <w:pStyle w:val="Heading2"/>
      </w:pPr>
      <w:r>
        <w:t>Aim 2. Identify regulatory and genetically supported candidate drivers of pathogenic B-cell states through integrative multi-omic analysis.</w:t>
      </w:r>
    </w:p>
    <w:p>
      <w:pPr>
        <w:spacing w:after="80" w:before="0" w:line="300" w:lineRule="auto"/>
        <w:ind w:firstLine="346"/>
      </w:pPr>
      <w:r>
        <w:t>Why this aim matters. Even a careful atlas only tells part of the story. In lupus, genes rise and fall with activation, proliferation, interferon exposure, and tissue context, and any one of those can make a state look mechanistically coherent when it is not. What I want from Aim 2 is a harsher test. Which candidate drivers still look persuasive once the signatures from Aim 1 are placed against independent regulatory and genetic evidence? Put differently, Aim 2 asks whether the structure recovered in Aim 1 can bear interpretive weight. That is why I do not treat this aim as an optional extension. It is the point at which description is forced to meet mechanism [5,6].</w:t>
      </w:r>
    </w:p>
    <w:p>
      <w:pPr>
        <w:spacing w:after="80" w:before="0" w:line="300" w:lineRule="auto"/>
        <w:ind w:firstLine="346"/>
      </w:pPr>
      <w:r>
        <w:t>What I will do. I will take the signatures defined in Aim 1 and ask how well they hold up when viewed against independent regulatory and genetic layers. OneK1K will be used first, because it captures dynamic and cell-type-specific eQTL effects across the B-cell landscape [5]. CIMA will then provide a broader regulatory context through gene regulatory networks, caQTLs, and GWAS-linked associations in immune cell types, including B cells [6]. Finally, I will evaluate whether mechanistic programs already implicated in the lupus literature - especially ZEB2-, TBX21-, and FTO-related modules - remain supported when these orthogonal layers are considered together rather than one at a time.</w:t>
      </w:r>
    </w:p>
    <w:p>
      <w:pPr>
        <w:spacing w:after="80" w:before="0" w:line="300" w:lineRule="auto"/>
        <w:ind w:firstLine="346"/>
      </w:pPr>
      <w:r>
        <w:rPr>
          <w:rFonts w:ascii="Times New Roman" w:hAnsi="Times New Roman"/>
          <w:sz w:val="24"/>
        </w:rPr>
        <w:t>What I expect to learn. Aim 2 should produce a prioritized regulatory model for pathogenic lupus B-cell states and, ideally, a short list of candidate drivers that would justify future functional work. Just as important, it should distinguish programs that are merely state-associated from those that continue to look plausible when several independent forms of evidence are brought to bear on the same question. That is the level at which I think this proposal can make a useful contribution.</w:t>
      </w:r>
    </w:p>
    <w:p>
      <w:pPr>
        <w:pStyle w:val="Heading1"/>
      </w:pPr>
      <w:r>
        <w:t>3. Preliminary Data (Public-Data Feasibility and Rationale)</w:t>
      </w:r>
    </w:p>
    <w:p>
      <w:pPr>
        <w:spacing w:after="80" w:before="0" w:line="300" w:lineRule="auto"/>
        <w:ind w:firstLine="346"/>
      </w:pPr>
      <w:r>
        <w:rPr>
          <w:rFonts w:ascii="Times New Roman" w:hAnsi="Times New Roman"/>
          <w:sz w:val="24"/>
        </w:rPr>
        <w:t>No original wet-lab preliminary data are presented here. Under the course guideline, that is acceptable provided the proposal states a clear hypothesis and a workable design. In this case, the feasibility argument does not rest on claiming results in advance. It rests on the existence of public datasets that are already strong enough to support state discovery, cross-context comparison, and mechanism prioritization within a computational framework [1,5-8].</w:t>
      </w:r>
    </w:p>
    <w:p>
      <w:pPr>
        <w:spacing w:after="80" w:before="0" w:line="300" w:lineRule="auto"/>
        <w:ind w:firstLine="346"/>
      </w:pPr>
      <w:r>
        <w:rPr>
          <w:rFonts w:ascii="Times New Roman" w:hAnsi="Times New Roman"/>
          <w:sz w:val="24"/>
        </w:rPr>
        <w:t>The feasibility argument is therefore fairly direct. This project does not depend on recruiting a new cohort, establishing a sequencing workflow from scratch, or generating proof-of-principle data before the main question can even be asked. The crucial pieces are already in place: a large lupus PBMC discovery dataset, external tissue datasets for contextualization, and population-scale immune-genetic resources that make it possible to move beyond state description toward regulatory interpretation [1-6].</w:t>
      </w:r>
    </w:p>
    <w:p>
      <w:pPr>
        <w:spacing w:after="80" w:before="0" w:line="300" w:lineRule="auto"/>
        <w:ind w:firstLine="346"/>
      </w:pPr>
      <w:r>
        <w:rPr>
          <w:rFonts w:ascii="Times New Roman" w:hAnsi="Times New Roman"/>
          <w:sz w:val="24"/>
        </w:rPr>
        <w:t>The main datasets and their roles in the project are summarized below.</w:t>
      </w:r>
    </w:p>
    <w:p>
      <w:pPr>
        <w:spacing w:before="80" w:after="80"/>
      </w:pPr>
      <w:r>
        <w:rPr>
          <w:rFonts w:ascii="Times New Roman" w:hAnsi="Times New Roman" w:eastAsia="Times New Roman"/>
          <w:b/>
          <w:sz w:val="22"/>
        </w:rPr>
        <w:t>TABLE 1. Core public resources to be used in the proposed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vAlign w:val="center"/>
          </w:tcPr>
          <w:p>
            <w:pPr>
              <w:jc w:val="center"/>
            </w:pPr>
            <w:r/>
            <w:r>
              <w:rPr>
                <w:rFonts w:ascii="Times New Roman" w:hAnsi="Times New Roman" w:eastAsia="Times New Roman"/>
                <w:b/>
                <w:sz w:val="20"/>
              </w:rPr>
              <w:t>Resource</w:t>
            </w:r>
          </w:p>
        </w:tc>
        <w:tc>
          <w:tcPr>
            <w:tcW w:type="dxa" w:w="1584"/>
            <w:vAlign w:val="center"/>
          </w:tcPr>
          <w:p>
            <w:pPr>
              <w:jc w:val="center"/>
            </w:pPr>
            <w:r/>
            <w:r>
              <w:rPr>
                <w:rFonts w:ascii="Times New Roman" w:hAnsi="Times New Roman" w:eastAsia="Times New Roman"/>
                <w:b/>
                <w:sz w:val="20"/>
              </w:rPr>
              <w:t>Material</w:t>
            </w:r>
          </w:p>
        </w:tc>
        <w:tc>
          <w:tcPr>
            <w:tcW w:type="dxa" w:w="2088"/>
            <w:vAlign w:val="center"/>
          </w:tcPr>
          <w:p>
            <w:pPr>
              <w:jc w:val="center"/>
            </w:pPr>
            <w:r/>
            <w:r>
              <w:rPr>
                <w:rFonts w:ascii="Times New Roman" w:hAnsi="Times New Roman" w:eastAsia="Times New Roman"/>
                <w:b/>
                <w:sz w:val="20"/>
              </w:rPr>
              <w:t>Scale / cohort</w:t>
            </w:r>
          </w:p>
        </w:tc>
        <w:tc>
          <w:tcPr>
            <w:tcW w:type="dxa" w:w="3816"/>
            <w:vAlign w:val="center"/>
          </w:tcPr>
          <w:p>
            <w:pPr>
              <w:jc w:val="center"/>
            </w:pPr>
            <w:r/>
            <w:r>
              <w:rPr>
                <w:rFonts w:ascii="Times New Roman" w:hAnsi="Times New Roman" w:eastAsia="Times New Roman"/>
                <w:b/>
                <w:sz w:val="20"/>
              </w:rPr>
              <w:t>Main value for this proposal</w:t>
            </w:r>
          </w:p>
        </w:tc>
        <w:tc>
          <w:tcPr>
            <w:tcW w:type="dxa" w:w="1440"/>
            <w:vAlign w:val="center"/>
          </w:tcPr>
          <w:p>
            <w:pPr>
              <w:jc w:val="center"/>
            </w:pPr>
            <w:r/>
            <w:r>
              <w:rPr>
                <w:rFonts w:ascii="Times New Roman" w:hAnsi="Times New Roman" w:eastAsia="Times New Roman"/>
                <w:b/>
                <w:sz w:val="20"/>
              </w:rPr>
              <w:t>Availability</w:t>
            </w:r>
          </w:p>
        </w:tc>
      </w:tr>
      <w:tr>
        <w:tc>
          <w:tcPr>
            <w:tcW w:type="dxa" w:w="1656"/>
            <w:vAlign w:val="center"/>
          </w:tcPr>
          <w:p>
            <w:pPr>
              <w:jc w:val="center"/>
            </w:pPr>
            <w:r/>
            <w:r>
              <w:rPr>
                <w:rFonts w:ascii="Times New Roman" w:hAnsi="Times New Roman" w:eastAsia="Times New Roman"/>
                <w:b w:val="0"/>
                <w:sz w:val="19"/>
              </w:rPr>
              <w:t>Perez et al. 2022 [1]</w:t>
            </w:r>
          </w:p>
        </w:tc>
        <w:tc>
          <w:tcPr>
            <w:tcW w:type="dxa" w:w="1584"/>
            <w:vAlign w:val="center"/>
          </w:tcPr>
          <w:p>
            <w:pPr>
              <w:jc w:val="center"/>
            </w:pPr>
            <w:r/>
            <w:r>
              <w:rPr>
                <w:rFonts w:ascii="Times New Roman" w:hAnsi="Times New Roman" w:eastAsia="Times New Roman"/>
                <w:b w:val="0"/>
                <w:sz w:val="19"/>
              </w:rPr>
              <w:t>PBMC scRNA-seq + genotype</w:t>
            </w:r>
          </w:p>
        </w:tc>
        <w:tc>
          <w:tcPr>
            <w:tcW w:type="dxa" w:w="2088"/>
            <w:vAlign w:val="center"/>
          </w:tcPr>
          <w:p>
            <w:pPr>
              <w:jc w:val="left"/>
            </w:pPr>
            <w:r/>
            <w:r>
              <w:rPr>
                <w:rFonts w:ascii="Times New Roman" w:hAnsi="Times New Roman" w:eastAsia="Times New Roman"/>
                <w:b w:val="0"/>
                <w:sz w:val="19"/>
              </w:rPr>
              <w:t>1.2M+ PBMCs; 162 SLE cases, 99 controls</w:t>
            </w:r>
          </w:p>
        </w:tc>
        <w:tc>
          <w:tcPr>
            <w:tcW w:type="dxa" w:w="3816"/>
            <w:vAlign w:val="center"/>
          </w:tcPr>
          <w:p>
            <w:pPr>
              <w:jc w:val="left"/>
            </w:pPr>
            <w:r/>
            <w:r>
              <w:rPr>
                <w:rFonts w:ascii="Times New Roman" w:hAnsi="Times New Roman" w:eastAsia="Times New Roman"/>
                <w:b w:val="0"/>
                <w:sz w:val="19"/>
              </w:rPr>
              <w:t>Core discovery atlas for lupus-associated immune states and cell type-specific genetic context</w:t>
            </w:r>
          </w:p>
        </w:tc>
        <w:tc>
          <w:tcPr>
            <w:tcW w:type="dxa" w:w="1440"/>
            <w:vAlign w:val="center"/>
          </w:tcPr>
          <w:p>
            <w:pPr>
              <w:jc w:val="center"/>
            </w:pPr>
            <w:r/>
            <w:r>
              <w:rPr>
                <w:rFonts w:ascii="Times New Roman" w:hAnsi="Times New Roman" w:eastAsia="Times New Roman"/>
                <w:b w:val="0"/>
                <w:sz w:val="19"/>
              </w:rPr>
              <w:t>GSE174188</w:t>
            </w:r>
          </w:p>
        </w:tc>
      </w:tr>
      <w:tr>
        <w:tc>
          <w:tcPr>
            <w:tcW w:type="dxa" w:w="1656"/>
            <w:vAlign w:val="center"/>
          </w:tcPr>
          <w:p>
            <w:pPr>
              <w:jc w:val="center"/>
            </w:pPr>
            <w:r/>
            <w:r>
              <w:rPr>
                <w:rFonts w:ascii="Times New Roman" w:hAnsi="Times New Roman" w:eastAsia="Times New Roman"/>
                <w:b w:val="0"/>
                <w:sz w:val="19"/>
              </w:rPr>
              <w:t>Zheng et al. 2022 [7]</w:t>
            </w:r>
          </w:p>
        </w:tc>
        <w:tc>
          <w:tcPr>
            <w:tcW w:type="dxa" w:w="1584"/>
            <w:vAlign w:val="center"/>
          </w:tcPr>
          <w:p>
            <w:pPr>
              <w:jc w:val="center"/>
            </w:pPr>
            <w:r/>
            <w:r>
              <w:rPr>
                <w:rFonts w:ascii="Times New Roman" w:hAnsi="Times New Roman" w:eastAsia="Times New Roman"/>
                <w:b w:val="0"/>
                <w:sz w:val="19"/>
              </w:rPr>
              <w:t>Skin scRNA-seq</w:t>
            </w:r>
          </w:p>
        </w:tc>
        <w:tc>
          <w:tcPr>
            <w:tcW w:type="dxa" w:w="2088"/>
            <w:vAlign w:val="center"/>
          </w:tcPr>
          <w:p>
            <w:pPr>
              <w:jc w:val="left"/>
            </w:pPr>
            <w:r/>
            <w:r>
              <w:rPr>
                <w:rFonts w:ascii="Times New Roman" w:hAnsi="Times New Roman" w:eastAsia="Times New Roman"/>
                <w:b w:val="0"/>
                <w:sz w:val="19"/>
              </w:rPr>
              <w:t>23 skin tissues; 107,428 epidermal and 191,701 dermal cells</w:t>
            </w:r>
          </w:p>
        </w:tc>
        <w:tc>
          <w:tcPr>
            <w:tcW w:type="dxa" w:w="3816"/>
            <w:vAlign w:val="center"/>
          </w:tcPr>
          <w:p>
            <w:pPr>
              <w:jc w:val="left"/>
            </w:pPr>
            <w:r/>
            <w:r>
              <w:rPr>
                <w:rFonts w:ascii="Times New Roman" w:hAnsi="Times New Roman" w:eastAsia="Times New Roman"/>
                <w:b w:val="0"/>
                <w:sz w:val="19"/>
              </w:rPr>
              <w:t>Tissue-level contextualization of interferon-rich lesions and communication patterns</w:t>
            </w:r>
          </w:p>
        </w:tc>
        <w:tc>
          <w:tcPr>
            <w:tcW w:type="dxa" w:w="1440"/>
            <w:vAlign w:val="center"/>
          </w:tcPr>
          <w:p>
            <w:pPr>
              <w:jc w:val="center"/>
            </w:pPr>
            <w:r/>
            <w:r>
              <w:rPr>
                <w:rFonts w:ascii="Times New Roman" w:hAnsi="Times New Roman" w:eastAsia="Times New Roman"/>
                <w:b w:val="0"/>
                <w:sz w:val="19"/>
              </w:rPr>
              <w:t>GSE179633</w:t>
            </w:r>
          </w:p>
        </w:tc>
      </w:tr>
      <w:tr>
        <w:tc>
          <w:tcPr>
            <w:tcW w:type="dxa" w:w="1656"/>
            <w:vAlign w:val="center"/>
          </w:tcPr>
          <w:p>
            <w:pPr>
              <w:jc w:val="center"/>
            </w:pPr>
            <w:r/>
            <w:r>
              <w:rPr>
                <w:rFonts w:ascii="Times New Roman" w:hAnsi="Times New Roman" w:eastAsia="Times New Roman"/>
                <w:b w:val="0"/>
                <w:sz w:val="19"/>
              </w:rPr>
              <w:t>Younis et al. 2025 [4]</w:t>
            </w:r>
          </w:p>
        </w:tc>
        <w:tc>
          <w:tcPr>
            <w:tcW w:type="dxa" w:w="1584"/>
            <w:vAlign w:val="center"/>
          </w:tcPr>
          <w:p>
            <w:pPr>
              <w:jc w:val="center"/>
            </w:pPr>
            <w:r/>
            <w:r>
              <w:rPr>
                <w:rFonts w:ascii="Times New Roman" w:hAnsi="Times New Roman" w:eastAsia="Times New Roman"/>
                <w:b w:val="0"/>
                <w:sz w:val="19"/>
              </w:rPr>
              <w:t>EBV-focused SLE scRNA-seq</w:t>
            </w:r>
          </w:p>
        </w:tc>
        <w:tc>
          <w:tcPr>
            <w:tcW w:type="dxa" w:w="2088"/>
            <w:vAlign w:val="center"/>
          </w:tcPr>
          <w:p>
            <w:pPr>
              <w:jc w:val="left"/>
            </w:pPr>
            <w:r/>
            <w:r>
              <w:rPr>
                <w:rFonts w:ascii="Times New Roman" w:hAnsi="Times New Roman" w:eastAsia="Times New Roman"/>
                <w:b w:val="0"/>
                <w:sz w:val="19"/>
              </w:rPr>
              <w:t>Patient-derived EBV+ and EBV- B-cell states</w:t>
            </w:r>
          </w:p>
        </w:tc>
        <w:tc>
          <w:tcPr>
            <w:tcW w:type="dxa" w:w="3816"/>
            <w:vAlign w:val="center"/>
          </w:tcPr>
          <w:p>
            <w:pPr>
              <w:jc w:val="left"/>
            </w:pPr>
            <w:r/>
            <w:r>
              <w:rPr>
                <w:rFonts w:ascii="Times New Roman" w:hAnsi="Times New Roman" w:eastAsia="Times New Roman"/>
                <w:b w:val="0"/>
                <w:sz w:val="19"/>
              </w:rPr>
              <w:t>Defines APC-like autoreactive B-cell reprogramming and candidate driver modules</w:t>
            </w:r>
          </w:p>
        </w:tc>
        <w:tc>
          <w:tcPr>
            <w:tcW w:type="dxa" w:w="1440"/>
            <w:vAlign w:val="center"/>
          </w:tcPr>
          <w:p>
            <w:pPr>
              <w:jc w:val="center"/>
            </w:pPr>
            <w:r/>
            <w:r>
              <w:rPr>
                <w:rFonts w:ascii="Times New Roman" w:hAnsi="Times New Roman" w:eastAsia="Times New Roman"/>
                <w:b w:val="0"/>
                <w:sz w:val="19"/>
              </w:rPr>
              <w:t>PRJNA1301449</w:t>
            </w:r>
          </w:p>
        </w:tc>
      </w:tr>
      <w:tr>
        <w:tc>
          <w:tcPr>
            <w:tcW w:type="dxa" w:w="1656"/>
            <w:vAlign w:val="center"/>
          </w:tcPr>
          <w:p>
            <w:pPr>
              <w:jc w:val="center"/>
            </w:pPr>
            <w:r/>
            <w:r>
              <w:rPr>
                <w:rFonts w:ascii="Times New Roman" w:hAnsi="Times New Roman" w:eastAsia="Times New Roman"/>
                <w:b w:val="0"/>
                <w:sz w:val="19"/>
              </w:rPr>
              <w:t>Yazar et al. 2022 [5]</w:t>
            </w:r>
          </w:p>
        </w:tc>
        <w:tc>
          <w:tcPr>
            <w:tcW w:type="dxa" w:w="1584"/>
            <w:vAlign w:val="center"/>
          </w:tcPr>
          <w:p>
            <w:pPr>
              <w:jc w:val="center"/>
            </w:pPr>
            <w:r/>
            <w:r>
              <w:rPr>
                <w:rFonts w:ascii="Times New Roman" w:hAnsi="Times New Roman" w:eastAsia="Times New Roman"/>
                <w:b w:val="0"/>
                <w:sz w:val="19"/>
              </w:rPr>
              <w:t>PBMC scRNA-seq + eQTL</w:t>
            </w:r>
          </w:p>
        </w:tc>
        <w:tc>
          <w:tcPr>
            <w:tcW w:type="dxa" w:w="2088"/>
            <w:vAlign w:val="center"/>
          </w:tcPr>
          <w:p>
            <w:pPr>
              <w:jc w:val="left"/>
            </w:pPr>
            <w:r/>
            <w:r>
              <w:rPr>
                <w:rFonts w:ascii="Times New Roman" w:hAnsi="Times New Roman" w:eastAsia="Times New Roman"/>
                <w:b w:val="0"/>
                <w:sz w:val="19"/>
              </w:rPr>
              <w:t>1.27M PBMCs; 982 donors</w:t>
            </w:r>
          </w:p>
        </w:tc>
        <w:tc>
          <w:tcPr>
            <w:tcW w:type="dxa" w:w="3816"/>
            <w:vAlign w:val="center"/>
          </w:tcPr>
          <w:p>
            <w:pPr>
              <w:jc w:val="left"/>
            </w:pPr>
            <w:r/>
            <w:r>
              <w:rPr>
                <w:rFonts w:ascii="Times New Roman" w:hAnsi="Times New Roman" w:eastAsia="Times New Roman"/>
                <w:b w:val="0"/>
                <w:sz w:val="19"/>
              </w:rPr>
              <w:t>Dynamic eQTLs across the B-cell landscape and cell type-specific immune regulation</w:t>
            </w:r>
          </w:p>
        </w:tc>
        <w:tc>
          <w:tcPr>
            <w:tcW w:type="dxa" w:w="1440"/>
            <w:vAlign w:val="center"/>
          </w:tcPr>
          <w:p>
            <w:pPr>
              <w:jc w:val="center"/>
            </w:pPr>
            <w:r/>
            <w:r>
              <w:rPr>
                <w:rFonts w:ascii="Times New Roman" w:hAnsi="Times New Roman" w:eastAsia="Times New Roman"/>
                <w:b w:val="0"/>
                <w:sz w:val="19"/>
              </w:rPr>
              <w:t>GSE196830</w:t>
            </w:r>
          </w:p>
        </w:tc>
      </w:tr>
      <w:tr>
        <w:tc>
          <w:tcPr>
            <w:tcW w:type="dxa" w:w="1656"/>
            <w:vAlign w:val="center"/>
          </w:tcPr>
          <w:p>
            <w:pPr>
              <w:jc w:val="center"/>
            </w:pPr>
            <w:r/>
            <w:r>
              <w:rPr>
                <w:rFonts w:ascii="Times New Roman" w:hAnsi="Times New Roman" w:eastAsia="Times New Roman"/>
                <w:b w:val="0"/>
                <w:sz w:val="19"/>
              </w:rPr>
              <w:t>Yin et al. 2026 [6]</w:t>
            </w:r>
          </w:p>
        </w:tc>
        <w:tc>
          <w:tcPr>
            <w:tcW w:type="dxa" w:w="1584"/>
            <w:vAlign w:val="center"/>
          </w:tcPr>
          <w:p>
            <w:pPr>
              <w:jc w:val="center"/>
            </w:pPr>
            <w:r/>
            <w:r>
              <w:rPr>
                <w:rFonts w:ascii="Times New Roman" w:hAnsi="Times New Roman" w:eastAsia="Times New Roman"/>
                <w:b w:val="0"/>
                <w:sz w:val="19"/>
              </w:rPr>
              <w:t>scRNA-seq + scATAC-seq + WGS</w:t>
            </w:r>
          </w:p>
        </w:tc>
        <w:tc>
          <w:tcPr>
            <w:tcW w:type="dxa" w:w="2088"/>
            <w:vAlign w:val="center"/>
          </w:tcPr>
          <w:p>
            <w:pPr>
              <w:jc w:val="left"/>
            </w:pPr>
            <w:r/>
            <w:r>
              <w:rPr>
                <w:rFonts w:ascii="Times New Roman" w:hAnsi="Times New Roman" w:eastAsia="Times New Roman"/>
                <w:b w:val="0"/>
                <w:sz w:val="19"/>
              </w:rPr>
              <w:t>10.2M PBMCs; 428 Chinese adults</w:t>
            </w:r>
          </w:p>
        </w:tc>
        <w:tc>
          <w:tcPr>
            <w:tcW w:type="dxa" w:w="3816"/>
            <w:vAlign w:val="center"/>
          </w:tcPr>
          <w:p>
            <w:pPr>
              <w:jc w:val="left"/>
            </w:pPr>
            <w:r/>
            <w:r>
              <w:rPr>
                <w:rFonts w:ascii="Times New Roman" w:hAnsi="Times New Roman" w:eastAsia="Times New Roman"/>
                <w:b w:val="0"/>
                <w:sz w:val="19"/>
              </w:rPr>
              <w:t>Gene regulatory networks, eGenes, caPeaks, and B-cell dynamic xQTL context</w:t>
            </w:r>
          </w:p>
        </w:tc>
        <w:tc>
          <w:tcPr>
            <w:tcW w:type="dxa" w:w="1440"/>
            <w:vAlign w:val="center"/>
          </w:tcPr>
          <w:p>
            <w:pPr>
              <w:jc w:val="center"/>
            </w:pPr>
            <w:r/>
            <w:r>
              <w:rPr>
                <w:rFonts w:ascii="Times New Roman" w:hAnsi="Times New Roman" w:eastAsia="Times New Roman"/>
                <w:b w:val="0"/>
                <w:sz w:val="19"/>
              </w:rPr>
              <w:t>Published atlas</w:t>
            </w:r>
          </w:p>
        </w:tc>
      </w:tr>
      <w:tr>
        <w:tc>
          <w:tcPr>
            <w:tcW w:type="dxa" w:w="1656"/>
            <w:vAlign w:val="center"/>
          </w:tcPr>
          <w:p>
            <w:pPr>
              <w:jc w:val="center"/>
            </w:pPr>
            <w:r/>
            <w:r>
              <w:rPr>
                <w:rFonts w:ascii="Times New Roman" w:hAnsi="Times New Roman" w:eastAsia="Times New Roman"/>
                <w:b w:val="0"/>
                <w:sz w:val="19"/>
              </w:rPr>
              <w:t>Lee et al. 2025 [8]</w:t>
            </w:r>
          </w:p>
        </w:tc>
        <w:tc>
          <w:tcPr>
            <w:tcW w:type="dxa" w:w="1584"/>
            <w:vAlign w:val="center"/>
          </w:tcPr>
          <w:p>
            <w:pPr>
              <w:jc w:val="center"/>
            </w:pPr>
            <w:r/>
            <w:r>
              <w:rPr>
                <w:rFonts w:ascii="Times New Roman" w:hAnsi="Times New Roman" w:eastAsia="Times New Roman"/>
                <w:b w:val="0"/>
                <w:sz w:val="19"/>
              </w:rPr>
              <w:t>Whole blood / sorted-cell bulk RNA-seq</w:t>
            </w:r>
          </w:p>
        </w:tc>
        <w:tc>
          <w:tcPr>
            <w:tcW w:type="dxa" w:w="2088"/>
            <w:vAlign w:val="center"/>
          </w:tcPr>
          <w:p>
            <w:pPr>
              <w:jc w:val="left"/>
            </w:pPr>
            <w:r/>
            <w:r>
              <w:rPr>
                <w:rFonts w:ascii="Times New Roman" w:hAnsi="Times New Roman" w:eastAsia="Times New Roman"/>
                <w:b w:val="0"/>
                <w:sz w:val="19"/>
              </w:rPr>
              <w:t>461 bulk samples from 276 CLUES patients; subset of sorted-cell data</w:t>
            </w:r>
          </w:p>
        </w:tc>
        <w:tc>
          <w:tcPr>
            <w:tcW w:type="dxa" w:w="3816"/>
            <w:vAlign w:val="center"/>
          </w:tcPr>
          <w:p>
            <w:pPr>
              <w:jc w:val="left"/>
            </w:pPr>
            <w:r/>
            <w:r>
              <w:rPr>
                <w:rFonts w:ascii="Times New Roman" w:hAnsi="Times New Roman" w:eastAsia="Times New Roman"/>
                <w:b w:val="0"/>
                <w:sz w:val="19"/>
              </w:rPr>
              <w:t>Phenotype-oriented validation for cutaneous manifestations of lupus</w:t>
            </w:r>
          </w:p>
        </w:tc>
        <w:tc>
          <w:tcPr>
            <w:tcW w:type="dxa" w:w="1440"/>
            <w:vAlign w:val="center"/>
          </w:tcPr>
          <w:p>
            <w:pPr>
              <w:jc w:val="center"/>
            </w:pPr>
            <w:r/>
            <w:r>
              <w:rPr>
                <w:rFonts w:ascii="Times New Roman" w:hAnsi="Times New Roman" w:eastAsia="Times New Roman"/>
                <w:b w:val="0"/>
                <w:sz w:val="19"/>
              </w:rPr>
              <w:t>Published preprint</w:t>
            </w:r>
          </w:p>
        </w:tc>
      </w:tr>
    </w:tbl>
    <w:p>
      <w:pPr>
        <w:pStyle w:val="Heading1"/>
      </w:pPr>
      <w:r>
        <w:t>4. Research (Experimental) Design and Methods</w:t>
      </w:r>
    </w:p>
    <w:p>
      <w:pPr>
        <w:pStyle w:val="Heading2"/>
      </w:pPr>
      <w:r>
        <w:t>4.1 Overall study design</w:t>
      </w:r>
    </w:p>
    <w:p>
      <w:pPr>
        <w:spacing w:after="80" w:before="0" w:line="300" w:lineRule="auto"/>
        <w:ind w:firstLine="346"/>
      </w:pPr>
      <w:r>
        <w:t>I will organize the work in four linked stages. I begin with public data assembly and preprocessing, because the value of any later claim depends heavily on whether the underlying datasets have been handled carefully and comparably. I then move to B-cell state definition, where the immediate goal is not maximum clustering resolution but a map that is stable enough to support interpretation. The third stage asks the mechanistic question by comparing state-level signatures against immune-genetic and regulatory resources. The final stage is a reality check: do the strongest candidate programs still make biological sense when viewed in external phenotype-oriented contexts? I prefer this staged design to a single, all-in-one integrative analysis because it mirrors the way the scientific argument itself has to be built. In a project like this, mechanism is something to earn gradually, not something to assume at the start.</w:t>
      </w:r>
    </w:p>
    <w:p>
      <w:pPr>
        <w:pStyle w:val="Heading2"/>
      </w:pPr>
      <w:r>
        <w:t>4.2 Data collection and resource assembly</w:t>
      </w:r>
    </w:p>
    <w:p>
      <w:pPr>
        <w:spacing w:after="80" w:before="0" w:line="300" w:lineRule="auto"/>
        <w:ind w:firstLine="346"/>
      </w:pPr>
      <w:r>
        <w:t>The obvious place to start is the large PBMC mux-seq dataset from Perez et al. [1]. It is lupus-specific, large enough to resolve uncommon immune states, and paired with genotype information, which matters later when expression patterns need to be read against regulatory context. I do not want the project to drift into a generic atlas exercise, however. For that reason, I will keep the analysis anchored to mechanistic studies that are already directly relevant to lupus B-cell biology, particularly the EBV-focused dataset from Younis et al. and the ZEB2- and FTO-centered studies on ABC formation [2-4]. Those papers provide more than citations; they provide concrete biological reference points for deciding which states and modules are worth taking seriously.</w:t>
      </w:r>
    </w:p>
    <w:p>
      <w:pPr>
        <w:spacing w:after="80" w:before="0" w:line="300" w:lineRule="auto"/>
        <w:ind w:firstLine="346"/>
      </w:pPr>
      <w:r>
        <w:t>For tissue contextualization, I will use the Zheng cutaneous lupus single-cell dataset as a secondary layer rather than as a co-equal discovery cohort [7]. That distinction matters. I am not trying to argue that every blood-derived state should reappear in skin lesions in the same form. The more reasonable question is whether the strongest circulating B-cell programs are compatible with inflammatory tissue environments in which interferon activity, stromal-immune interaction, and immune infiltration are already prominent. The CLUES-based transcriptomic study adds a different kind of check by asking whether those programs relate at all to recognizable clinical phenotypes rather than remaining abstract PBMC signatures [8].</w:t>
      </w:r>
    </w:p>
    <w:p>
      <w:pPr>
        <w:spacing w:after="80" w:before="0" w:line="300" w:lineRule="auto"/>
        <w:ind w:firstLine="346"/>
      </w:pPr>
      <w:r>
        <w:t>For the regulatory layer, OneK1K and CIMA are the two resources I trust most for this question [5,6]. OneK1K is useful because it treats B-cell differentiation as a dynamic landscape and shows that regulatory effects can change along that path. CIMA contributes something broader: expression, chromatin accessibility, regulatory network structure, and GWAS-linked signals in a large Chinese immune atlas. When autoimmune loci contain several plausible genes, I will borrow the reasoning of recent fine-mapping and trans-regulatory studies to keep the interpretation disciplined, but I do not intend to present those methods as direct evidence of causality in this proposal [9,10].</w:t>
      </w:r>
    </w:p>
    <w:p>
      <w:pPr>
        <w:pStyle w:val="Heading2"/>
      </w:pPr>
      <w:r>
        <w:t>4.3 Preprocessing, harmonization, and quality control</w:t>
      </w:r>
    </w:p>
    <w:p>
      <w:pPr>
        <w:spacing w:after="80" w:before="0" w:line="300" w:lineRule="auto"/>
        <w:ind w:firstLine="346"/>
      </w:pPr>
      <w:r>
        <w:t>Raw or processed count matrices will be brought into an R/Python workflow, but I do not intend to force every dataset through an identical preprocessing recipe simply for the sake of uniformity. I will remove clear technical failures - low-quality droplets, likely doublets, and cells with very low-complexity transcriptomes or extreme mitochondrial content - but beyond that I want the preprocessing to remain attentive to the character of each dataset. Where metadata allow, I will use study-specific information such as donor demultiplexing or published cell annotations, because these often preserve genuine signal that a generic pipeline would flatten [1,7]. The practical aim is straightforward: reduce obvious technical noise without pretending that all studies began from the same experimental conditions.</w:t>
      </w:r>
    </w:p>
    <w:p>
      <w:pPr>
        <w:spacing w:after="80" w:before="0" w:line="300" w:lineRule="auto"/>
        <w:ind w:firstLine="346"/>
      </w:pPr>
      <w:r>
        <w:t>Integration across studies will be useful, but it cannot be treated as an unquestioned good. Methods such as Seurat integration or Harmony can make related datasets comparable, yet they can also suppress exactly the rare or transitional states this proposal is trying to recover. I will therefore keep integrated and study-level views side by side. If a purported pathogenic state only appears after aggressive alignment and cannot be recovered within the contributing datasets themselves, I will treat it cautiously. In other words, the purpose of harmonization here is not to produce the smoothest possible manifold; it is to make cross-study comparison possible without erasing biologically awkward structure.</w:t>
      </w:r>
    </w:p>
    <w:p>
      <w:pPr>
        <w:pStyle w:val="Heading2"/>
      </w:pPr>
      <w:r>
        <w:t>4.4 B-cell-focused atlas construction and state annotation</w:t>
      </w:r>
    </w:p>
    <w:p>
      <w:pPr>
        <w:spacing w:after="80" w:before="0" w:line="300" w:lineRule="auto"/>
        <w:ind w:firstLine="346"/>
      </w:pPr>
      <w:r>
        <w:rPr>
          <w:rFonts w:ascii="Times New Roman" w:hAnsi="Times New Roman"/>
          <w:sz w:val="24"/>
        </w:rPr>
        <w:t>After global preprocessing, I will subset B cells and re-cluster them at higher resolution. Annotation will draw on three sources at once: canonical B-cell markers, lupus-relevant markers highlighted in the uploaded papers, and module-level patterns that are more stable than any single gene. Naive and transitional states will be defined using standard lineage markers. Activated memory-like states will be defined by antigen-experience and activation programs. ABC/DN2-like states will be identified using the marker and program structure emphasized in the ZEB2 and FTO studies, including ITGAX, FCRL3, FCRL5, FCGR2B, reduced CXCR5 or IGHD-related features, and inflammatory modules [2,3]. Plasmablast-associated states will be defined through plasma-cell differentiation markers, whereas APC-like B-cell programs will be assessed using antigen-presentation and costimulatory features highlighted in the EBV study [4].</w:t>
      </w:r>
    </w:p>
    <w:p>
      <w:pPr>
        <w:spacing w:after="80" w:before="0" w:line="300" w:lineRule="auto"/>
        <w:ind w:firstLine="346"/>
      </w:pPr>
      <w:r>
        <w:rPr>
          <w:rFonts w:ascii="Times New Roman" w:hAnsi="Times New Roman"/>
          <w:sz w:val="24"/>
        </w:rPr>
        <w:t>I do not expect all of these compartments to separate cleanly, and I would be suspicious if they did. Part of what makes this problem interesting is that several of these states may be better understood as continua or branching paths than as neatly isolated clusters. For that reason, annotation will rely not only on discrete labels but also on module scoring and local neighborhood structure, which should make the downstream interpretation more realistic.</w:t>
      </w:r>
    </w:p>
    <w:p>
      <w:pPr>
        <w:pStyle w:val="Heading2"/>
      </w:pPr>
      <w:r>
        <w:t>4.5 Differential expression, pathway analysis, and state scoring</w:t>
      </w:r>
    </w:p>
    <w:p>
      <w:pPr>
        <w:spacing w:after="80" w:before="0" w:line="300" w:lineRule="auto"/>
        <w:ind w:firstLine="346"/>
      </w:pPr>
      <w:r>
        <w:rPr>
          <w:rFonts w:ascii="Times New Roman" w:hAnsi="Times New Roman"/>
          <w:sz w:val="24"/>
        </w:rPr>
        <w:t>For each major B-cell state, I will perform differential expression against a biologically matched comparator using donor-aware models or pseudobulk aggregation whenever the data structure allows. This is partly a statistical choice and partly a conceptual one. Human immune datasets carry substantial donor-level structure, and I do not want the argument to depend on inflated cell-level significance. Enrichment analysis will then be performed using Hallmark, Gene Ontology, and curated immune pathway collections, with particular attention to interferon signaling, antigen presentation, TLR-related activation, oxidative metabolism, lysosomal or autophagy pathways, and plasma-cell differentiation.</w:t>
      </w:r>
    </w:p>
    <w:p>
      <w:pPr>
        <w:spacing w:after="80" w:before="0" w:line="300" w:lineRule="auto"/>
        <w:ind w:firstLine="346"/>
      </w:pPr>
      <w:r>
        <w:rPr>
          <w:rFonts w:ascii="Times New Roman" w:hAnsi="Times New Roman"/>
          <w:sz w:val="24"/>
        </w:rPr>
        <w:t>To make the downstream analyses more robust, I will not transport full cluster identities from one dataset to another whenever a compact signature will do. Instead, each major state will be represented by a concise signature composed of upregulated genes, pathway features, and transcription factor-associated modules. That should travel more reliably across datasets than exact one-to-one cluster matching.</w:t>
      </w:r>
    </w:p>
    <w:p>
      <w:pPr>
        <w:pStyle w:val="Heading2"/>
      </w:pPr>
      <w:r>
        <w:t>4.6 Trajectory analysis and transition modeling</w:t>
      </w:r>
    </w:p>
    <w:p>
      <w:pPr>
        <w:spacing w:after="80" w:before="0" w:line="300" w:lineRule="auto"/>
        <w:ind w:firstLine="346"/>
      </w:pPr>
      <w:r>
        <w:rPr>
          <w:rFonts w:ascii="Times New Roman" w:hAnsi="Times New Roman"/>
          <w:sz w:val="24"/>
        </w:rPr>
        <w:t>A major question in Aim 1 is whether pathogenic lupus B-cell states can be arranged along coherent transition paths. I will test this using trajectory methods such as Monocle3, Slingshot, or diffusion-based pseudotime analysis anchored in naive or transitional compartments and extending toward activated memory-like, ABC/DN2-like, and plasmablast-associated states. When technically appropriate, RNA velocity will be used as supporting evidence for directionality, but not as the sole basis for deciding developmental order.</w:t>
      </w:r>
    </w:p>
    <w:p>
      <w:pPr>
        <w:spacing w:after="80" w:before="0" w:line="300" w:lineRule="auto"/>
        <w:ind w:firstLine="346"/>
      </w:pPr>
      <w:r>
        <w:rPr>
          <w:rFonts w:ascii="Times New Roman" w:hAnsi="Times New Roman"/>
          <w:sz w:val="24"/>
        </w:rPr>
        <w:t>This part of the analysis matters because it changes the kind of claim the project can make. If pathogenic states fall along recognizable transitions, the project is no longer only describing which B-cell subsets exist in lupus; it is beginning to ask where regulatory pressure may be exerted along those paths. On the basis of the OneK1K results, I expect some regulatory windows to become more visible when the cells are arranged along trajectories than when they are treated as fixed clusters [5].</w:t>
      </w:r>
    </w:p>
    <w:p>
      <w:pPr>
        <w:pStyle w:val="Heading2"/>
      </w:pPr>
      <w:r>
        <w:t>4.7 Cell-cell communication and inflammatory context</w:t>
      </w:r>
    </w:p>
    <w:p>
      <w:pPr>
        <w:spacing w:after="80" w:before="0" w:line="300" w:lineRule="auto"/>
        <w:ind w:firstLine="346"/>
      </w:pPr>
      <w:r>
        <w:rPr>
          <w:rFonts w:ascii="Times New Roman" w:hAnsi="Times New Roman"/>
          <w:sz w:val="24"/>
        </w:rPr>
        <w:t>I will use ligand-receptor analysis tools such as CellPhoneDB or CellChat to ask whether prioritized B-cell states are preferentially embedded in particular inflammatory niches. The main interest here is not in generating a maximal interaction network, but in testing whether ABC/DN2-like, plasmablast-associated, or APC-like states show structured relationships with myeloid compartments, T cells, or tissue-associated stromal populations where relevant [4,7].</w:t>
      </w:r>
    </w:p>
    <w:p>
      <w:pPr>
        <w:spacing w:after="80" w:before="0" w:line="300" w:lineRule="auto"/>
        <w:ind w:firstLine="346"/>
      </w:pPr>
      <w:r>
        <w:rPr>
          <w:rFonts w:ascii="Times New Roman" w:hAnsi="Times New Roman"/>
          <w:sz w:val="24"/>
        </w:rPr>
        <w:t>I will treat these results as context-defining rather than causal. A communication edge is not evidence of biological dependence. What it can do, however, is indicate whether a pathogenic B-cell state repeatedly appears in an interferon-rich, antigen-presentation-oriented, or survival-supporting environment, which is already useful for interpretation.</w:t>
      </w:r>
    </w:p>
    <w:p>
      <w:pPr>
        <w:pStyle w:val="Heading2"/>
      </w:pPr>
      <w:r>
        <w:t>4.8 Integrative regulatory and genetic analysis</w:t>
      </w:r>
    </w:p>
    <w:p>
      <w:pPr>
        <w:spacing w:after="80" w:before="0" w:line="300" w:lineRule="auto"/>
        <w:ind w:firstLine="346"/>
      </w:pPr>
      <w:r>
        <w:t>In Aim 2, I will deliberately avoid treating the signatures from Aim 1 as self-explanatory. The first step will be to compare them against dynamic and cell-type-specific eQTL signals from OneK1K, especially those distributed along the B-cell maturation landscape [5]. The second will be to place them in the broader regulatory context provided by CIMA, including cis-eQTLs, caQTLs, gene regulatory networks, and GWAS-linked associations [6]. The third will be to ask whether programs already implicated by the lupus literature - above all ZEB2-, TBX21-, and FTO-linked modules - continue to look credible when those layers are read together rather than separately.</w:t>
      </w:r>
    </w:p>
    <w:p>
      <w:pPr>
        <w:spacing w:after="80" w:before="0" w:line="300" w:lineRule="auto"/>
        <w:ind w:firstLine="346"/>
      </w:pPr>
      <w:r>
        <w:t>I do not intend to promote candidates simply because they emerge strongly in one layer of analysis. The more defensible strategy, in my view, is to prioritize only when different kinds of evidence begin to point in the same direction: state specificity, trajectory position, pathway logic, and regulatory or genetic support. That standard is more conservative, but it is also what keeps Aim 2 from collapsing into a long list of attractive but weakly grounded markers.</w:t>
      </w:r>
    </w:p>
    <w:p>
      <w:pPr>
        <w:pStyle w:val="Heading2"/>
      </w:pPr>
      <w:r>
        <w:t>4.9 Phenotype-oriented validation and external contextualization</w:t>
      </w:r>
    </w:p>
    <w:p>
      <w:pPr>
        <w:spacing w:after="80" w:before="0" w:line="300" w:lineRule="auto"/>
        <w:ind w:firstLine="346"/>
      </w:pPr>
      <w:r>
        <w:rPr>
          <w:rFonts w:ascii="Times New Roman" w:hAnsi="Times New Roman"/>
          <w:sz w:val="24"/>
        </w:rPr>
        <w:t>To strengthen translational relevance, I will ask whether the strongest prioritized B-cell signatures can be recognized in external lupus-related phenotype resources. The first layer will be the cutaneous lupus single-cell dataset [7], where I will test whether candidate circulating programs align with interferon-high tissue compartments, plasma-cell-related states, or inflammatory microenvironments. The second layer will be the CLUES-based cutaneous manifestation study [8], which offers a clinically annotated framework for asking whether those signatures track particular rashes or cutaneous phenotypes.</w:t>
      </w:r>
    </w:p>
    <w:p>
      <w:pPr>
        <w:spacing w:after="80" w:before="0" w:line="300" w:lineRule="auto"/>
        <w:ind w:firstLine="346"/>
      </w:pPr>
      <w:r>
        <w:rPr>
          <w:rFonts w:ascii="Times New Roman" w:hAnsi="Times New Roman"/>
          <w:sz w:val="24"/>
        </w:rPr>
        <w:t>I do not view this as a forced replication exercise. It is better understood as contextualization. If a candidate B-cell program maps cleanly onto a lupus-relevant inflammatory phenotype, that strengthens its biological plausibility. If it does not, that may be just as informative, because it may suggest the program is systemic, blood-restricted, or relevant only to a subset of disease contexts.</w:t>
      </w:r>
    </w:p>
    <w:p>
      <w:pPr>
        <w:pStyle w:val="Heading2"/>
      </w:pPr>
      <w:r>
        <w:t>4.10 Statistics, software, and reproducibility</w:t>
      </w:r>
    </w:p>
    <w:p>
      <w:pPr>
        <w:spacing w:after="80" w:before="0" w:line="300" w:lineRule="auto"/>
        <w:ind w:firstLine="346"/>
      </w:pPr>
      <w:r>
        <w:t>All differential analyses will use false discovery rate control, but the more important issue is the unit of inference. When donor-level identifiers are available, I will favor donor-aware models or pseudobulk aggregation over naive cell-level testing, because the latter can give a false sense of certainty in human immune datasets. I will treat a result as robust only if it survives three forms of scrutiny: reasonable changes in analysis settings, comparison across datasets, and comparison against external regulatory or genetic evidence. That is why candidate mechanisms will be ranked by convergence rather than by the output of a single test.</w:t>
      </w:r>
    </w:p>
    <w:p>
      <w:pPr>
        <w:spacing w:after="80" w:before="0" w:line="300" w:lineRule="auto"/>
        <w:ind w:firstLine="346"/>
      </w:pPr>
      <w:r>
        <w:t>The working environment will be built in R and Python, with tools such as Seurat, Harmony, Scanpy, Scrublet, Monocle3 or Slingshot, fgsea or clusterProfiler, and CellPhoneDB or CellChat used where they fit the task. I do not see value in presenting software choice itself as novelty. What matters is that the workflow be transparent enough that another researcher could follow the same steps, inspect intermediate decisions, and understand why a given interpretation was made. For that reason, I will organize the code as a modular pipeline spanning data import, quality control, integration, state annotation, trajectory analysis, communication analysis, and regulatory prioritization. The aim is not only execution, but auditability.</w:t>
      </w:r>
    </w:p>
    <w:p>
      <w:pPr>
        <w:pStyle w:val="Heading2"/>
      </w:pPr>
      <w:r>
        <w:t>4.11 Conceptual mechanism and analysis figure</w:t>
      </w:r>
    </w:p>
    <w:p>
      <w:pPr>
        <w:spacing w:after="80" w:before="0" w:line="300" w:lineRule="auto"/>
        <w:ind w:firstLine="346"/>
      </w:pPr>
      <w:r>
        <w:rPr>
          <w:rFonts w:ascii="Times New Roman" w:hAnsi="Times New Roman"/>
          <w:sz w:val="24"/>
        </w:rPr>
        <w:t>The figure below is not included simply to make the document look complete. Its purpose is to show the logic of the project in one place. The upper band states the biological argument: inflammatory inputs converge on pathogenic B-cell states and, through those states, on mechanistic modules with disease relevance. The lower band states the analytical argument: public datasets are processed, integrated, and reduced to state-level signatures, which are then carried into mechanism prioritization. In a proposal built around two linked aims, I think that visual compression is helpful because it makes explicit what the text otherwise has to explain across several pages.</w:t>
      </w:r>
    </w:p>
    <w:p>
      <w:pPr>
        <w:pStyle w:val="Heading2"/>
      </w:pPr>
      <w:r>
        <w:t>4.12 Potential difficulties, limitations, and alternative approaches</w:t>
      </w:r>
    </w:p>
    <w:p>
      <w:pPr>
        <w:spacing w:after="80" w:before="0" w:line="300" w:lineRule="auto"/>
        <w:ind w:firstLine="346"/>
      </w:pPr>
      <w:r>
        <w:t>A first difficulty is one that almost every lupus integrative analysis now faces: the available single-cell studies were not generated under a common design. Cohorts differ in ancestry, disease activity, treatment exposure, sequencing chemistry, and annotation depth. I do not think this can be solved simply by integrating everything more aggressively. My approach will therefore be to privilege reproducible signatures over exact cluster equivalence and to keep study-specific analyses available as a check on any integrated result. If a proposed pathogenic state appears only under one alignment setting and disappears when the original datasets are inspected, I would treat that as a warning rather than a discovery.</w:t>
      </w:r>
    </w:p>
    <w:p>
      <w:pPr>
        <w:spacing w:after="80" w:before="0" w:line="300" w:lineRule="auto"/>
        <w:ind w:firstLine="346"/>
      </w:pPr>
      <w:r>
        <w:t>A second limitation concerns the regulatory resources that make Aim 2 possible. OneK1K and CIMA are exceptionally informative, but they are not lupus cohorts. Their value here is that they provide external evidence about how immune regulation behaves across cell states and lineages; their limitation is that they cannot, on their own, establish lupus-specific causality. I will therefore use them as prioritization evidence rather than as direct mechanistic proof. A candidate driver that appears plausible only because one external resource favors it will not be treated the same way as one supported by several independent layers.</w:t>
      </w:r>
    </w:p>
    <w:p>
      <w:pPr>
        <w:spacing w:after="80" w:before="0" w:line="300" w:lineRule="auto"/>
        <w:ind w:firstLine="346"/>
      </w:pPr>
      <w:r>
        <w:t>A third issue is the relationship between blood-derived programs and tissue disease. I do not expect every circulating B-cell signature to map neatly onto lesional inflammation, nor do I think the project depends on that. The more realistic standard is whether the strongest candidate programs can be interpreted sensibly in selected lupus-relevant contexts. If a state appears robust in blood but shows little tissue correspondence, that is still informative; it may indicate a systemic program rather than a lesion-specific one. What matters is that the interpretation remains proportionate to the evidence.</w:t>
      </w:r>
    </w:p>
    <w:p>
      <w:pPr>
        <w:pStyle w:val="Heading2"/>
      </w:pPr>
      <w:r>
        <w:t>4.13 Tentative sequence and timetable</w:t>
      </w:r>
    </w:p>
    <w:p>
      <w:pPr>
        <w:spacing w:after="80" w:before="0" w:line="300" w:lineRule="auto"/>
        <w:ind w:firstLine="346"/>
      </w:pPr>
      <w:r>
        <w:rPr>
          <w:rFonts w:ascii="Times New Roman" w:hAnsi="Times New Roman"/>
          <w:sz w:val="24"/>
        </w:rPr>
        <w:t>The project is designed to run over approximately twelve months. The first two months will be spent assembling datasets, harmonizing metadata, and establishing a reproducible analysis environment. Months three and four will focus on B-cell state discovery, including integration, re-clustering, and signature definition. Months five and six will be used for trajectory analysis, pathway scoring, and communication analysis. Months seven and eight will shift to Aim 2, with OneK1K and CIMA integration and the first pass of candidate prioritization. Months nine and ten will be reserved for external contextualization using cutaneous lupus resources. The final two months will be used for interpretation, figure generation, and preparation of a report or manuscript-style write-up.</w:t>
      </w:r>
    </w:p>
    <w:p>
      <w:pPr>
        <w:pStyle w:val="Heading2"/>
      </w:pPr>
      <w:r>
        <w:t>4.14 Expected results, significance, and feasibility</w:t>
      </w:r>
    </w:p>
    <w:p>
      <w:pPr>
        <w:spacing w:after="80" w:before="0" w:line="300" w:lineRule="auto"/>
        <w:ind w:firstLine="346"/>
      </w:pPr>
      <w:r>
        <w:t>The first result I am aiming for is not simply a cleaner list of lupus B-cell clusters. What would count as real progress is a map of the major pathogenic states that is interpretable across datasets and honest about where the structure is continuous rather than discrete. In practice, I expect to recover ABC/DN2-like, activated memory-like, plasmablast-associated, and APC-like populations, but I am at least as interested in the relationships among them as in the labels themselves. If the project works, it should clarify which distinctions hold up repeatedly and which collapse into broader transition paths once the data are viewed side by side.</w:t>
      </w:r>
    </w:p>
    <w:p>
      <w:pPr>
        <w:spacing w:after="80" w:before="0" w:line="300" w:lineRule="auto"/>
        <w:ind w:firstLine="346"/>
      </w:pPr>
      <w:r>
        <w:t>The second result should be a more disciplined account of candidate mechanism. The current literature already makes some programs hard to ignore - ZEB2-linked differentiation, FTO-associated metabolic wiring, and inflammatory or antigen-presentation modules associated with APC-like B-cell states [2-4]. But I do not take their prior visibility as proof. The point of this proposal is to see whether those candidates still look compelling after state structure, trajectory position, and external regulatory evidence are considered together. If they do, the project will have done more than summarize the literature; it will have narrowed the field to a smaller set of mechanisms that are better justified than they were before.</w:t>
      </w:r>
    </w:p>
    <w:p>
      <w:pPr>
        <w:spacing w:after="80" w:before="0" w:line="300" w:lineRule="auto"/>
        <w:ind w:firstLine="346"/>
      </w:pPr>
      <w:r>
        <w:t>What ultimately justifies the project is that it addresses a question lupus research still handles only in pieces. The field has become very good at describing immune heterogeneity and is getting better at mapping regulatory variation, but it still has difficulty connecting those two levels in a way that is specific enough to guide mechanism. I think this proposal is worth doing because it aims to narrow that gap without claiming more than the data can support. It is feasible because the relevant datasets, tools, and conceptual anchors already exist. And if it succeeds, even at the level of prioritization rather than final proof, it should leave the problem in a more tractable state than it is now.</w:t>
      </w:r>
    </w:p>
    <w:p>
      <w:pPr>
        <w:jc w:val="center"/>
      </w:pPr>
      <w:r>
        <w:drawing>
          <wp:inline xmlns:a="http://schemas.openxmlformats.org/drawingml/2006/main" xmlns:pic="http://schemas.openxmlformats.org/drawingml/2006/picture">
            <wp:extent cx="5212080" cy="1658389"/>
            <wp:docPr id="1" name="Picture 1"/>
            <wp:cNvGraphicFramePr>
              <a:graphicFrameLocks noChangeAspect="1"/>
            </wp:cNvGraphicFramePr>
            <a:graphic>
              <a:graphicData uri="http://schemas.openxmlformats.org/drawingml/2006/picture">
                <pic:pic>
                  <pic:nvPicPr>
                    <pic:cNvPr id="0" name="sle_bcell_mechanism_framework_v5d.png"/>
                    <pic:cNvPicPr/>
                  </pic:nvPicPr>
                  <pic:blipFill>
                    <a:blip r:embed="rId9"/>
                    <a:stretch>
                      <a:fillRect/>
                    </a:stretch>
                  </pic:blipFill>
                  <pic:spPr>
                    <a:xfrm>
                      <a:off x="0" y="0"/>
                      <a:ext cx="5212080" cy="1658389"/>
                    </a:xfrm>
                    <a:prstGeom prst="rect"/>
                  </pic:spPr>
                </pic:pic>
              </a:graphicData>
            </a:graphic>
          </wp:inline>
        </w:drawing>
      </w:r>
    </w:p>
    <w:p>
      <w:pPr>
        <w:pStyle w:val="CaptionCustom"/>
        <w:spacing w:after="120"/>
        <w:jc w:val="left"/>
      </w:pPr>
      <w:r>
        <w:rPr>
          <w:rFonts w:ascii="Times New Roman" w:hAnsi="Times New Roman"/>
          <w:sz w:val="24"/>
        </w:rPr>
        <w:t>Figure 1. Conceptual disease model and analytical framework for the proposed study. The upper band summarizes the biological rationale: inflammatory inputs converge on pathogenic B-cell states, which in turn connect to mechanistic modules and clinical relevance. The lower band summarizes the analytical route of the proposal, from public lupus datasets through quality-controlled state discovery to mechanism prioritization.</w:t>
      </w:r>
    </w:p>
    <w:p>
      <w:pPr>
        <w:spacing w:before="80" w:after="80"/>
      </w:pPr>
      <w:r>
        <w:rPr>
          <w:rFonts w:ascii="Times New Roman" w:hAnsi="Times New Roman" w:eastAsia="Times New Roman"/>
          <w:b/>
          <w:sz w:val="22"/>
        </w:rPr>
        <w:t>TABLE 2. Tentative sequence and timetable for the proposed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vAlign w:val="center"/>
          </w:tcPr>
          <w:p>
            <w:pPr>
              <w:jc w:val="center"/>
            </w:pPr>
            <w:r/>
            <w:r>
              <w:rPr>
                <w:rFonts w:ascii="Times New Roman" w:hAnsi="Times New Roman" w:eastAsia="Times New Roman"/>
                <w:b/>
                <w:sz w:val="20"/>
              </w:rPr>
              <w:t>Period</w:t>
            </w:r>
          </w:p>
        </w:tc>
        <w:tc>
          <w:tcPr>
            <w:tcW w:type="dxa" w:w="1728"/>
            <w:vAlign w:val="center"/>
          </w:tcPr>
          <w:p>
            <w:pPr>
              <w:jc w:val="center"/>
            </w:pPr>
            <w:r/>
            <w:r>
              <w:rPr>
                <w:rFonts w:ascii="Times New Roman" w:hAnsi="Times New Roman" w:eastAsia="Times New Roman"/>
                <w:b/>
                <w:sz w:val="20"/>
              </w:rPr>
              <w:t>Focus</w:t>
            </w:r>
          </w:p>
        </w:tc>
        <w:tc>
          <w:tcPr>
            <w:tcW w:type="dxa" w:w="3744"/>
            <w:vAlign w:val="center"/>
          </w:tcPr>
          <w:p>
            <w:pPr>
              <w:jc w:val="center"/>
            </w:pPr>
            <w:r/>
            <w:r>
              <w:rPr>
                <w:rFonts w:ascii="Times New Roman" w:hAnsi="Times New Roman" w:eastAsia="Times New Roman"/>
                <w:b/>
                <w:sz w:val="20"/>
              </w:rPr>
              <w:t>Main tasks</w:t>
            </w:r>
          </w:p>
        </w:tc>
        <w:tc>
          <w:tcPr>
            <w:tcW w:type="dxa" w:w="2016"/>
            <w:vAlign w:val="center"/>
          </w:tcPr>
          <w:p>
            <w:pPr>
              <w:jc w:val="center"/>
            </w:pPr>
            <w:r/>
            <w:r>
              <w:rPr>
                <w:rFonts w:ascii="Times New Roman" w:hAnsi="Times New Roman" w:eastAsia="Times New Roman"/>
                <w:b/>
                <w:sz w:val="20"/>
              </w:rPr>
              <w:t>Deliverables</w:t>
            </w:r>
          </w:p>
        </w:tc>
      </w:tr>
      <w:tr>
        <w:tc>
          <w:tcPr>
            <w:tcW w:type="dxa" w:w="1584"/>
            <w:vAlign w:val="center"/>
          </w:tcPr>
          <w:p>
            <w:pPr>
              <w:jc w:val="center"/>
            </w:pPr>
            <w:r/>
            <w:r>
              <w:rPr>
                <w:rFonts w:ascii="Times New Roman" w:hAnsi="Times New Roman" w:eastAsia="Times New Roman"/>
                <w:b w:val="0"/>
                <w:sz w:val="19"/>
              </w:rPr>
              <w:t>Months 1-2</w:t>
            </w:r>
          </w:p>
        </w:tc>
        <w:tc>
          <w:tcPr>
            <w:tcW w:type="dxa" w:w="1728"/>
            <w:vAlign w:val="center"/>
          </w:tcPr>
          <w:p>
            <w:pPr>
              <w:jc w:val="center"/>
            </w:pPr>
            <w:r/>
            <w:r>
              <w:rPr>
                <w:rFonts w:ascii="Times New Roman" w:hAnsi="Times New Roman" w:eastAsia="Times New Roman"/>
                <w:b w:val="0"/>
                <w:sz w:val="19"/>
              </w:rPr>
              <w:t>Data assembly</w:t>
            </w:r>
          </w:p>
        </w:tc>
        <w:tc>
          <w:tcPr>
            <w:tcW w:type="dxa" w:w="3744"/>
            <w:vAlign w:val="center"/>
          </w:tcPr>
          <w:p>
            <w:pPr>
              <w:jc w:val="left"/>
            </w:pPr>
            <w:r/>
            <w:r>
              <w:rPr>
                <w:rFonts w:ascii="Times New Roman" w:hAnsi="Times New Roman" w:eastAsia="Times New Roman"/>
                <w:b w:val="0"/>
                <w:sz w:val="19"/>
              </w:rPr>
              <w:t>Download datasets; harmonize metadata; establish reproducible workflow</w:t>
            </w:r>
          </w:p>
        </w:tc>
        <w:tc>
          <w:tcPr>
            <w:tcW w:type="dxa" w:w="2016"/>
            <w:vAlign w:val="center"/>
          </w:tcPr>
          <w:p>
            <w:pPr>
              <w:jc w:val="center"/>
            </w:pPr>
            <w:r/>
            <w:r>
              <w:rPr>
                <w:rFonts w:ascii="Times New Roman" w:hAnsi="Times New Roman" w:eastAsia="Times New Roman"/>
                <w:b w:val="0"/>
                <w:sz w:val="19"/>
              </w:rPr>
              <w:t>Curated data inventory</w:t>
            </w:r>
          </w:p>
        </w:tc>
      </w:tr>
      <w:tr>
        <w:tc>
          <w:tcPr>
            <w:tcW w:type="dxa" w:w="1584"/>
            <w:vAlign w:val="center"/>
          </w:tcPr>
          <w:p>
            <w:pPr>
              <w:jc w:val="center"/>
            </w:pPr>
            <w:r/>
            <w:r>
              <w:rPr>
                <w:rFonts w:ascii="Times New Roman" w:hAnsi="Times New Roman" w:eastAsia="Times New Roman"/>
                <w:b w:val="0"/>
                <w:sz w:val="19"/>
              </w:rPr>
              <w:t>Months 3-4</w:t>
            </w:r>
          </w:p>
        </w:tc>
        <w:tc>
          <w:tcPr>
            <w:tcW w:type="dxa" w:w="1728"/>
            <w:vAlign w:val="center"/>
          </w:tcPr>
          <w:p>
            <w:pPr>
              <w:jc w:val="center"/>
            </w:pPr>
            <w:r/>
            <w:r>
              <w:rPr>
                <w:rFonts w:ascii="Times New Roman" w:hAnsi="Times New Roman" w:eastAsia="Times New Roman"/>
                <w:b w:val="0"/>
                <w:sz w:val="19"/>
              </w:rPr>
              <w:t>Aim 1 state discovery</w:t>
            </w:r>
          </w:p>
        </w:tc>
        <w:tc>
          <w:tcPr>
            <w:tcW w:type="dxa" w:w="3744"/>
            <w:vAlign w:val="center"/>
          </w:tcPr>
          <w:p>
            <w:pPr>
              <w:jc w:val="left"/>
            </w:pPr>
            <w:r/>
            <w:r>
              <w:rPr>
                <w:rFonts w:ascii="Times New Roman" w:hAnsi="Times New Roman" w:eastAsia="Times New Roman"/>
                <w:b w:val="0"/>
                <w:sz w:val="19"/>
              </w:rPr>
              <w:t>Quality control, integration, B-cell re-clustering, initial annotation</w:t>
            </w:r>
          </w:p>
        </w:tc>
        <w:tc>
          <w:tcPr>
            <w:tcW w:type="dxa" w:w="2016"/>
            <w:vAlign w:val="center"/>
          </w:tcPr>
          <w:p>
            <w:pPr>
              <w:jc w:val="center"/>
            </w:pPr>
            <w:r/>
            <w:r>
              <w:rPr>
                <w:rFonts w:ascii="Times New Roman" w:hAnsi="Times New Roman" w:eastAsia="Times New Roman"/>
                <w:b w:val="0"/>
                <w:sz w:val="19"/>
              </w:rPr>
              <w:t>Draft B-cell atlas</w:t>
            </w:r>
          </w:p>
        </w:tc>
      </w:tr>
      <w:tr>
        <w:tc>
          <w:tcPr>
            <w:tcW w:type="dxa" w:w="1584"/>
            <w:vAlign w:val="center"/>
          </w:tcPr>
          <w:p>
            <w:pPr>
              <w:jc w:val="center"/>
            </w:pPr>
            <w:r/>
            <w:r>
              <w:rPr>
                <w:rFonts w:ascii="Times New Roman" w:hAnsi="Times New Roman" w:eastAsia="Times New Roman"/>
                <w:b w:val="0"/>
                <w:sz w:val="19"/>
              </w:rPr>
              <w:t>Months 5-6</w:t>
            </w:r>
          </w:p>
        </w:tc>
        <w:tc>
          <w:tcPr>
            <w:tcW w:type="dxa" w:w="1728"/>
            <w:vAlign w:val="center"/>
          </w:tcPr>
          <w:p>
            <w:pPr>
              <w:jc w:val="center"/>
            </w:pPr>
            <w:r/>
            <w:r>
              <w:rPr>
                <w:rFonts w:ascii="Times New Roman" w:hAnsi="Times New Roman" w:eastAsia="Times New Roman"/>
                <w:b w:val="0"/>
                <w:sz w:val="19"/>
              </w:rPr>
              <w:t>Transition analysis</w:t>
            </w:r>
          </w:p>
        </w:tc>
        <w:tc>
          <w:tcPr>
            <w:tcW w:type="dxa" w:w="3744"/>
            <w:vAlign w:val="center"/>
          </w:tcPr>
          <w:p>
            <w:pPr>
              <w:jc w:val="left"/>
            </w:pPr>
            <w:r/>
            <w:r>
              <w:rPr>
                <w:rFonts w:ascii="Times New Roman" w:hAnsi="Times New Roman" w:eastAsia="Times New Roman"/>
                <w:b w:val="0"/>
                <w:sz w:val="19"/>
              </w:rPr>
              <w:t>Trajectory inference, pathway scoring, communication analysis</w:t>
            </w:r>
          </w:p>
        </w:tc>
        <w:tc>
          <w:tcPr>
            <w:tcW w:type="dxa" w:w="2016"/>
            <w:vAlign w:val="center"/>
          </w:tcPr>
          <w:p>
            <w:pPr>
              <w:jc w:val="center"/>
            </w:pPr>
            <w:r/>
            <w:r>
              <w:rPr>
                <w:rFonts w:ascii="Times New Roman" w:hAnsi="Times New Roman" w:eastAsia="Times New Roman"/>
                <w:b w:val="0"/>
                <w:sz w:val="19"/>
              </w:rPr>
              <w:t>State transition model</w:t>
            </w:r>
          </w:p>
        </w:tc>
      </w:tr>
      <w:tr>
        <w:tc>
          <w:tcPr>
            <w:tcW w:type="dxa" w:w="1584"/>
            <w:vAlign w:val="center"/>
          </w:tcPr>
          <w:p>
            <w:pPr>
              <w:jc w:val="center"/>
            </w:pPr>
            <w:r/>
            <w:r>
              <w:rPr>
                <w:rFonts w:ascii="Times New Roman" w:hAnsi="Times New Roman" w:eastAsia="Times New Roman"/>
                <w:b w:val="0"/>
                <w:sz w:val="19"/>
              </w:rPr>
              <w:t>Months 7-8</w:t>
            </w:r>
          </w:p>
        </w:tc>
        <w:tc>
          <w:tcPr>
            <w:tcW w:type="dxa" w:w="1728"/>
            <w:vAlign w:val="center"/>
          </w:tcPr>
          <w:p>
            <w:pPr>
              <w:jc w:val="center"/>
            </w:pPr>
            <w:r/>
            <w:r>
              <w:rPr>
                <w:rFonts w:ascii="Times New Roman" w:hAnsi="Times New Roman" w:eastAsia="Times New Roman"/>
                <w:b w:val="0"/>
                <w:sz w:val="19"/>
              </w:rPr>
              <w:t>Aim 2 integration</w:t>
            </w:r>
          </w:p>
        </w:tc>
        <w:tc>
          <w:tcPr>
            <w:tcW w:type="dxa" w:w="3744"/>
            <w:vAlign w:val="center"/>
          </w:tcPr>
          <w:p>
            <w:pPr>
              <w:jc w:val="left"/>
            </w:pPr>
            <w:r/>
            <w:r>
              <w:rPr>
                <w:rFonts w:ascii="Times New Roman" w:hAnsi="Times New Roman" w:eastAsia="Times New Roman"/>
                <w:b w:val="0"/>
                <w:sz w:val="19"/>
              </w:rPr>
              <w:t>Overlay with OneK1K and CIMA; rank candidate drivers and modules</w:t>
            </w:r>
          </w:p>
        </w:tc>
        <w:tc>
          <w:tcPr>
            <w:tcW w:type="dxa" w:w="2016"/>
            <w:vAlign w:val="center"/>
          </w:tcPr>
          <w:p>
            <w:pPr>
              <w:jc w:val="center"/>
            </w:pPr>
            <w:r/>
            <w:r>
              <w:rPr>
                <w:rFonts w:ascii="Times New Roman" w:hAnsi="Times New Roman" w:eastAsia="Times New Roman"/>
                <w:b w:val="0"/>
                <w:sz w:val="19"/>
              </w:rPr>
              <w:t>Ranked regulatory shortlist</w:t>
            </w:r>
          </w:p>
        </w:tc>
      </w:tr>
      <w:tr>
        <w:tc>
          <w:tcPr>
            <w:tcW w:type="dxa" w:w="1584"/>
            <w:vAlign w:val="center"/>
          </w:tcPr>
          <w:p>
            <w:pPr>
              <w:jc w:val="center"/>
            </w:pPr>
            <w:r/>
            <w:r>
              <w:rPr>
                <w:rFonts w:ascii="Times New Roman" w:hAnsi="Times New Roman" w:eastAsia="Times New Roman"/>
                <w:b w:val="0"/>
                <w:sz w:val="19"/>
              </w:rPr>
              <w:t>Months 9-10</w:t>
            </w:r>
          </w:p>
        </w:tc>
        <w:tc>
          <w:tcPr>
            <w:tcW w:type="dxa" w:w="1728"/>
            <w:vAlign w:val="center"/>
          </w:tcPr>
          <w:p>
            <w:pPr>
              <w:jc w:val="center"/>
            </w:pPr>
            <w:r/>
            <w:r>
              <w:rPr>
                <w:rFonts w:ascii="Times New Roman" w:hAnsi="Times New Roman" w:eastAsia="Times New Roman"/>
                <w:b w:val="0"/>
                <w:sz w:val="19"/>
              </w:rPr>
              <w:t>External contextualization</w:t>
            </w:r>
          </w:p>
        </w:tc>
        <w:tc>
          <w:tcPr>
            <w:tcW w:type="dxa" w:w="3744"/>
            <w:vAlign w:val="center"/>
          </w:tcPr>
          <w:p>
            <w:pPr>
              <w:jc w:val="left"/>
            </w:pPr>
            <w:r/>
            <w:r>
              <w:rPr>
                <w:rFonts w:ascii="Times New Roman" w:hAnsi="Times New Roman" w:eastAsia="Times New Roman"/>
                <w:b w:val="0"/>
                <w:sz w:val="19"/>
              </w:rPr>
              <w:t>Cutaneous lupus contextualization and phenotype-oriented signature testing</w:t>
            </w:r>
          </w:p>
        </w:tc>
        <w:tc>
          <w:tcPr>
            <w:tcW w:type="dxa" w:w="2016"/>
            <w:vAlign w:val="center"/>
          </w:tcPr>
          <w:p>
            <w:pPr>
              <w:jc w:val="center"/>
            </w:pPr>
            <w:r/>
            <w:r>
              <w:rPr>
                <w:rFonts w:ascii="Times New Roman" w:hAnsi="Times New Roman" w:eastAsia="Times New Roman"/>
                <w:b w:val="0"/>
                <w:sz w:val="19"/>
              </w:rPr>
              <w:t>Cross-context validation summary</w:t>
            </w:r>
          </w:p>
        </w:tc>
      </w:tr>
      <w:tr>
        <w:tc>
          <w:tcPr>
            <w:tcW w:type="dxa" w:w="1584"/>
            <w:vAlign w:val="center"/>
          </w:tcPr>
          <w:p>
            <w:pPr>
              <w:jc w:val="center"/>
            </w:pPr>
            <w:r/>
            <w:r>
              <w:rPr>
                <w:rFonts w:ascii="Times New Roman" w:hAnsi="Times New Roman" w:eastAsia="Times New Roman"/>
                <w:b w:val="0"/>
                <w:sz w:val="19"/>
              </w:rPr>
              <w:t>Months 11-12</w:t>
            </w:r>
          </w:p>
        </w:tc>
        <w:tc>
          <w:tcPr>
            <w:tcW w:type="dxa" w:w="1728"/>
            <w:vAlign w:val="center"/>
          </w:tcPr>
          <w:p>
            <w:pPr>
              <w:jc w:val="center"/>
            </w:pPr>
            <w:r/>
            <w:r>
              <w:rPr>
                <w:rFonts w:ascii="Times New Roman" w:hAnsi="Times New Roman" w:eastAsia="Times New Roman"/>
                <w:b w:val="0"/>
                <w:sz w:val="19"/>
              </w:rPr>
              <w:t>Writing and refinement</w:t>
            </w:r>
          </w:p>
        </w:tc>
        <w:tc>
          <w:tcPr>
            <w:tcW w:type="dxa" w:w="3744"/>
            <w:vAlign w:val="center"/>
          </w:tcPr>
          <w:p>
            <w:pPr>
              <w:jc w:val="left"/>
            </w:pPr>
            <w:r/>
            <w:r>
              <w:rPr>
                <w:rFonts w:ascii="Times New Roman" w:hAnsi="Times New Roman" w:eastAsia="Times New Roman"/>
                <w:b w:val="0"/>
                <w:sz w:val="19"/>
              </w:rPr>
              <w:t>Interpretation, figure generation, final proposal-style write-up</w:t>
            </w:r>
          </w:p>
        </w:tc>
        <w:tc>
          <w:tcPr>
            <w:tcW w:type="dxa" w:w="2016"/>
            <w:vAlign w:val="center"/>
          </w:tcPr>
          <w:p>
            <w:pPr>
              <w:jc w:val="center"/>
            </w:pPr>
            <w:r/>
            <w:r>
              <w:rPr>
                <w:rFonts w:ascii="Times New Roman" w:hAnsi="Times New Roman" w:eastAsia="Times New Roman"/>
                <w:b w:val="0"/>
                <w:sz w:val="19"/>
              </w:rPr>
              <w:t>Final report and presentation</w:t>
            </w:r>
          </w:p>
        </w:tc>
      </w:tr>
    </w:tbl>
    <w:p>
      <w:pPr>
        <w:pStyle w:val="Heading1"/>
      </w:pPr>
      <w:r>
        <w:t>5. Bibliography</w:t>
      </w:r>
    </w:p>
    <w:p>
      <w:pPr>
        <w:spacing w:after="80" w:line="276" w:lineRule="auto"/>
        <w:ind w:hanging="317" w:left="317"/>
      </w:pPr>
      <w:r>
        <w:rPr>
          <w:rFonts w:ascii="Times New Roman" w:hAnsi="Times New Roman" w:eastAsia="Times New Roman"/>
          <w:sz w:val="23"/>
        </w:rPr>
        <w:t>[1] Richard K. Perez, M. Grace Gordon, Meena Subramaniam, Min Cheol Kim, George C. Hartoularos, Sasha Targ, Yang Sun, Anton Ogorodnikov, Raymund Bueno, Andrew Lu, Mike Thompson, Nadav Rappoport, Andrew Dahl, Cristina M. Lanata, Mehrdad Matloubian, Lenka Maliskova, Serena S. Kwek, Tony Li, Michal Slyper, Julia Waldman, Danielle Dionne, Orit Rozenblatt-Rosen, Lawrence Fong, Maria Dall'Era, Brunilda Balliu, Aviv Regev, Jinoos Yazdany, Lindsey A. Criswell, Noah Zaitlen, Chun Jimmie Ye. Single-cell RNA-seq reveals cell type-specific molecular and genetic associations to lupus. Science 376, eabf1970 (2022).</w:t>
      </w:r>
    </w:p>
    <w:p>
      <w:pPr>
        <w:spacing w:after="80" w:line="276" w:lineRule="auto"/>
        <w:ind w:hanging="317" w:left="317"/>
      </w:pPr>
      <w:r>
        <w:rPr>
          <w:rFonts w:ascii="Times New Roman" w:hAnsi="Times New Roman" w:eastAsia="Times New Roman"/>
          <w:sz w:val="23"/>
        </w:rPr>
        <w:t>[2] Dai Dai, Shuangshuang Gu, Xiaxia Han, Huihua Ding, Yang Jiang, Xiaoou Zhang, Chao Yao, Soonmin Hong, Jinsong Zhang, Yiwei Shen, Guojun Hou, Bo Qu, Haibo Zhou, Yuting Qin, Yuke He, Jianyang Ma, Zhihua Yin, Zhizhong Ye, Jie Qian, Qian Jiang, Lihua Wu, Qiang Guo, Sheng Chen, Chuanxin Huang, Leah C. Kottyan, Matthew T. Weirauch, Carola G. Vinuesa, Nan Shen. The transcription factor ZEB2 drives the formation of age-associated B cells. Science 383, 413-421 (2024).</w:t>
      </w:r>
    </w:p>
    <w:p>
      <w:pPr>
        <w:spacing w:after="80" w:line="276" w:lineRule="auto"/>
        <w:ind w:hanging="317" w:left="317"/>
      </w:pPr>
      <w:r>
        <w:rPr>
          <w:rFonts w:ascii="Times New Roman" w:hAnsi="Times New Roman" w:eastAsia="Times New Roman"/>
          <w:sz w:val="23"/>
        </w:rPr>
        <w:t>[3] Qin Zeng, Lin Li, Xue Li, Linmang Qin, Tianxiao Feng, Yunfeng Zhu, Jieying Wang, Yaoyao Zou, Jianling Su, Guangfu Dong, Wuzheng Xia, Ting Xu, Guangfeng Zhang, Yang Cui, Haobo Lin, Xin Li, Yang Li. The m6A demethylase FTO links TLR7 to mitochondrial oxidation driving age-associated B cell formation in systemic lupus erythematosus. Science Translational Medicine 17, eadu6015 (2025).</w:t>
      </w:r>
    </w:p>
    <w:p>
      <w:pPr>
        <w:spacing w:after="80" w:line="276" w:lineRule="auto"/>
        <w:ind w:hanging="317" w:left="317"/>
      </w:pPr>
      <w:r>
        <w:rPr>
          <w:rFonts w:ascii="Times New Roman" w:hAnsi="Times New Roman" w:eastAsia="Times New Roman"/>
          <w:sz w:val="23"/>
        </w:rPr>
        <w:t>[4] Shady Younis, Salvinaz I. Moutusy, Sajede Rasouli, Shaghayegh Jahanbani, Mahesh Pandit, Xiaohao Wu, Suman Acharya, Orr Sharpe, Tilini U. Wijeratne, Marlayna L. Harris, Emily Y. Yang, Yashaar Chaichian, Shima Parsafar, Matthew C. Baker, John B. Harley, Eric Meffre, Lawrence Steinman, Ann Marshak-Rothstein, Judith A. James, Olivia M. Martinez, Paul J. Utz, Dana E. Orange, Tobias V. Lanz, William H. Robinson. Epstein-Barr virus reprograms autoreactive B cells as antigen-presenting cells in systemic lupus erythematosus. Science Translational Medicine 17, eady0210 (2025).</w:t>
      </w:r>
    </w:p>
    <w:p>
      <w:pPr>
        <w:spacing w:after="80" w:line="276" w:lineRule="auto"/>
        <w:ind w:hanging="317" w:left="317"/>
      </w:pPr>
      <w:r>
        <w:rPr>
          <w:rFonts w:ascii="Times New Roman" w:hAnsi="Times New Roman" w:eastAsia="Times New Roman"/>
          <w:sz w:val="23"/>
        </w:rPr>
        <w:t>[5] Seyhan Yazar, Jose Alquicira-Hernandez, Kristof Wing, Anne Senabouth, M. Grace Gordon, Stacey Andersen, Qinyi Lu, Antonia Rowson, Thomas R. P. Taylor, Linda Clarke, Katia Maccora, Christine Chen, Anthony L. Cook, Chun Jimmie Ye, Kirsten A. Fairfax, Alex W. Hewitt, Joseph E. Powell. Single-cell eQTL mapping identifies cell type-specific genetic control of autoimmune disease. Science 376, eabf3041 (2022).</w:t>
      </w:r>
    </w:p>
    <w:p>
      <w:pPr>
        <w:spacing w:after="80" w:line="276" w:lineRule="auto"/>
        <w:ind w:hanging="317" w:left="317"/>
      </w:pPr>
      <w:r>
        <w:rPr>
          <w:rFonts w:ascii="Times New Roman" w:hAnsi="Times New Roman" w:eastAsia="Times New Roman"/>
          <w:sz w:val="23"/>
        </w:rPr>
        <w:t>[6] Jianhua Yin, Yuhui Zheng, Zhuoli Huang, Wenwen Zhou, Yue Yuan, Pengfei Cai, Yong Bai, et al. Chinese Immune Multi-Omics Atlas. Science 391, eadt3130 (2026).</w:t>
      </w:r>
    </w:p>
    <w:p>
      <w:pPr>
        <w:spacing w:after="80" w:line="276" w:lineRule="auto"/>
        <w:ind w:hanging="317" w:left="317"/>
      </w:pPr>
      <w:r>
        <w:rPr>
          <w:rFonts w:ascii="Times New Roman" w:hAnsi="Times New Roman" w:eastAsia="Times New Roman"/>
          <w:sz w:val="23"/>
        </w:rPr>
        <w:t>[7] Meiling Zheng, Zhi Hu, Xiaole Mei, Lianlian Ouyang, Yang Song, Wenhui Zhou, Yi Kong, Ruifang Wu, Shijia Rao, Hai Long, Wei Shi, Hui Jing, Shuang Lu, Haijing Wu, Sujie Jia, Qianjin Lu, Ming Zhao. Single-cell sequencing shows cellular heterogeneity of cutaneous lesions in lupus erythematosus. Nature Communications 13, 7489 (2022).</w:t>
      </w:r>
    </w:p>
    <w:p>
      <w:pPr>
        <w:spacing w:after="80" w:line="276" w:lineRule="auto"/>
        <w:ind w:hanging="317" w:left="317"/>
      </w:pPr>
      <w:r>
        <w:rPr>
          <w:rFonts w:ascii="Times New Roman" w:hAnsi="Times New Roman" w:eastAsia="Times New Roman"/>
          <w:sz w:val="23"/>
        </w:rPr>
        <w:t>[8] Ernest Y. Lee, Sarah Patterson, Zachary Cutts, Cristina M. Lanata, Maria Dall'Era, Jinoos Yazdany, Lindsey A. Criswell, Anna Haemel, Patricia Katz, Chun Jimmie Ye, Charles Langelier, Marina Sirota. Transcriptomic analysis reveals immune signatures associated with specific cutaneous manifestations of lupus in systemic lupus erythematosus. bioRxiv 2025.04.27.649460 (2025).</w:t>
      </w:r>
    </w:p>
    <w:p>
      <w:pPr>
        <w:spacing w:after="80" w:line="276" w:lineRule="auto"/>
        <w:ind w:hanging="317" w:left="317"/>
      </w:pPr>
      <w:r>
        <w:rPr>
          <w:rFonts w:ascii="Times New Roman" w:hAnsi="Times New Roman" w:eastAsia="Times New Roman"/>
          <w:sz w:val="23"/>
        </w:rPr>
        <w:t>[9] Jordan Rossen, Huwenbo Shi, Benjamin J. Strober, Martin Jinye Zhang, Masahiro Kanai, Zachary R. McCaw, Liming Liang, Omer Weissbrod, Alkes L. Price. MultiSuSiE improves multi-ancestry fine-mapping in All of Us whole-genome sequencing data. Nature Genetics 58, 67-76 (2026).</w:t>
      </w:r>
    </w:p>
    <w:p>
      <w:pPr>
        <w:spacing w:after="80" w:line="276" w:lineRule="auto"/>
        <w:ind w:hanging="317" w:left="317"/>
      </w:pPr>
      <w:r>
        <w:rPr>
          <w:rFonts w:ascii="Times New Roman" w:hAnsi="Times New Roman" w:eastAsia="Times New Roman"/>
          <w:sz w:val="23"/>
        </w:rPr>
        <w:t>[10] Jinghui Li, Yang I. Li, Xuanyao Liu. Protein-protein interactions shape trans-regulatory impact of genetic variation on protein expression and complex traits. Nature Genetics 58, 77-87 (2026).</w:t>
      </w:r>
    </w:p>
    <w:sectPr w:rsidR="00FC693F" w:rsidRPr="0006063C" w:rsidSect="00034616">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Chen Zhi | MBI6013 Research Proposal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5C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3A5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Normal"/>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