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1ab28b1c138d9204dad3e133545ef3e13cf425f"/>
    <w:p>
      <w:pPr>
        <w:pStyle w:val="Heading1"/>
        <w:keepNext/>
        <w:spacing w:after="200"/>
        <w:jc w:val="left"/>
      </w:pPr>
      <w:r>
        <w:rPr>
          <w:rFonts w:ascii="Arial" w:hAnsi="Arial" w:eastAsia="Arial"/>
          <w:b/>
          <w:sz w:val="28"/>
        </w:rPr>
        <w:t xml:space="preserve">Disease-blind single-cell reconstruction distinguishes unstable B-cell state assignments from reproducible interferon remodeling in systemic lupus erythematosus</w:t>
      </w:r>
    </w:p>
    <w:p>
      <w:pPr>
        <w:pStyle w:val="FirstParagraph"/>
      </w:pPr>
      <w:r>
        <w:rPr>
          <w:rFonts w:ascii="Arial" w:hAnsi="Arial" w:eastAsia="Arial"/>
          <w:b/>
          <w:bCs/>
          <w:sz w:val="21"/>
        </w:rPr>
        <w:t xml:space="preserve">Article type:</w:t>
      </w:r>
      <w:r>
        <w:rPr>
          <w:rFonts w:ascii="Arial" w:hAnsi="Arial" w:eastAsia="Arial"/>
          <w:sz w:val="21"/>
        </w:rPr>
        <w:t xml:space="preserve"> </w:t>
      </w:r>
      <w:r>
        <w:rPr>
          <w:rFonts w:ascii="Arial" w:hAnsi="Arial" w:eastAsia="Arial"/>
          <w:sz w:val="21"/>
        </w:rPr>
        <w:t xml:space="preserve">Research</w:t>
      </w:r>
    </w:p>
    <w:p>
      <w:pPr>
        <w:pStyle w:val="BodyText"/>
      </w:pPr>
      <w:r>
        <w:rPr>
          <w:rFonts w:ascii="Arial" w:hAnsi="Arial" w:eastAsia="Arial"/>
          <w:b/>
          <w:bCs/>
          <w:sz w:val="21"/>
        </w:rPr>
        <w:t xml:space="preserve">Authors:</w:t>
      </w:r>
      <w:r>
        <w:rPr>
          <w:rFonts w:ascii="Arial" w:hAnsi="Arial" w:eastAsia="Arial"/>
          <w:sz w:val="21"/>
        </w:rPr>
        <w:t xml:space="preserve"> </w:t>
      </w:r>
      <w:r>
        <w:rPr>
          <w:rFonts w:ascii="Arial" w:hAnsi="Arial" w:eastAsia="Arial"/>
          <w:sz w:val="21"/>
        </w:rPr>
        <w:t xml:space="preserve">Zhi Chen [1] and Teng Qi [1,*]</w:t>
      </w:r>
    </w:p>
    <w:p>
      <w:pPr>
        <w:pStyle w:val="BodyText"/>
      </w:pPr>
      <w:r>
        <w:rPr>
          <w:rFonts w:ascii="Arial" w:hAnsi="Arial" w:eastAsia="Arial"/>
          <w:b/>
          <w:bCs/>
          <w:sz w:val="21"/>
        </w:rPr>
        <w:t xml:space="preserve">Affiliation 1:</w:t>
      </w:r>
      <w:r>
        <w:rPr>
          <w:rFonts w:ascii="Arial" w:hAnsi="Arial" w:eastAsia="Arial"/>
          <w:sz w:val="21"/>
        </w:rPr>
        <w:t xml:space="preserve"> </w:t>
      </w:r>
      <w:r>
        <w:rPr>
          <w:rFonts w:ascii="Arial" w:hAnsi="Arial" w:eastAsia="Arial"/>
          <w:sz w:val="21"/>
        </w:rPr>
        <w:t xml:space="preserve">School of Medicine, The Chinese University of Hong Kong, Shenzhen, Shenzhen 518172, China</w:t>
      </w:r>
    </w:p>
    <w:p>
      <w:pPr>
        <w:pStyle w:val="BodyText"/>
      </w:pPr>
      <w:r>
        <w:rPr>
          <w:rFonts w:ascii="Arial" w:hAnsi="Arial" w:eastAsia="Arial"/>
          <w:b/>
          <w:bCs/>
          <w:sz w:val="21"/>
        </w:rPr>
        <w:t xml:space="preserve">Corresponding author:</w:t>
      </w:r>
      <w:r>
        <w:rPr>
          <w:rFonts w:ascii="Arial" w:hAnsi="Arial" w:eastAsia="Arial"/>
          <w:sz w:val="21"/>
        </w:rPr>
        <w:t xml:space="preserve"> </w:t>
      </w:r>
      <w:r>
        <w:rPr>
          <w:rFonts w:ascii="Arial" w:hAnsi="Arial" w:eastAsia="Arial"/>
          <w:sz w:val="21"/>
        </w:rPr>
        <w:t xml:space="preserve">Teng Qi, School of Medicine, The Chinese University of Hong Kong, Shenzhen, MED Start-up Building, 2001 Longxiang Boulevard, Longgang District, Shenzhen 518172, China;</w:t>
      </w:r>
      <w:r>
        <w:rPr>
          <w:rFonts w:ascii="Arial" w:hAnsi="Arial" w:eastAsia="Arial"/>
          <w:sz w:val="21"/>
        </w:rPr>
        <w:t xml:space="preserve"> </w:t>
      </w:r>
      <w:hyperlink r:id="rId20">
        <w:r>
          <w:rPr>
            <w:rStyle w:val="Hyperlink"/>
          </w:rPr>
          <w:t xml:space="preserve">tengqi@link.cuhk.edu.cn</w:t>
        </w:r>
      </w:hyperlink>
    </w:p>
    <w:p>
      <w:pPr>
        <w:pStyle w:val="BodyText"/>
      </w:pPr>
      <w:r>
        <w:rPr>
          <w:rFonts w:ascii="Arial" w:hAnsi="Arial" w:eastAsia="Arial"/>
          <w:b/>
          <w:bCs/>
          <w:sz w:val="21"/>
        </w:rPr>
        <w:t xml:space="preserve">ORCID identifiers:</w:t>
      </w:r>
      <w:r>
        <w:rPr>
          <w:rFonts w:ascii="Arial" w:hAnsi="Arial" w:eastAsia="Arial"/>
          <w:sz w:val="21"/>
        </w:rPr>
        <w:t xml:space="preserve"> </w:t>
      </w:r>
      <w:r>
        <w:rPr>
          <w:rFonts w:ascii="Arial" w:hAnsi="Arial" w:eastAsia="Arial"/>
          <w:sz w:val="21"/>
        </w:rPr>
        <w:t xml:space="preserve">Zhi Chen,</w:t>
      </w:r>
      <w:r>
        <w:rPr>
          <w:rFonts w:ascii="Arial" w:hAnsi="Arial" w:eastAsia="Arial"/>
          <w:sz w:val="21"/>
        </w:rPr>
        <w:t xml:space="preserve"> </w:t>
      </w:r>
      <w:hyperlink r:id="rId21">
        <w:r>
          <w:rPr>
            <w:rStyle w:val="Hyperlink"/>
          </w:rPr>
          <w:t xml:space="preserve">https://orcid.org/0009-0001-0072-5576</w:t>
        </w:r>
      </w:hyperlink>
      <w:r>
        <w:rPr>
          <w:rFonts w:ascii="Arial" w:hAnsi="Arial" w:eastAsia="Arial"/>
          <w:sz w:val="21"/>
        </w:rPr>
        <w:t xml:space="preserve">; Teng Qi,</w:t>
      </w:r>
      <w:r>
        <w:rPr>
          <w:rFonts w:ascii="Arial" w:hAnsi="Arial" w:eastAsia="Arial"/>
          <w:sz w:val="21"/>
        </w:rPr>
        <w:t xml:space="preserve"> </w:t>
      </w:r>
      <w:hyperlink r:id="rId22">
        <w:r>
          <w:rPr>
            <w:rStyle w:val="Hyperlink"/>
          </w:rPr>
          <w:t xml:space="preserve">https://orcid.org/0009-0007-7648-4776</w:t>
        </w:r>
      </w:hyperlink>
    </w:p>
    <w:p>
      <w:pPr>
        <w:pStyle w:val="BodyText"/>
      </w:pPr>
      <w:r>
        <w:rPr>
          <w:rFonts w:ascii="Arial" w:hAnsi="Arial" w:eastAsia="Arial"/>
          <w:b/>
          <w:bCs/>
          <w:sz w:val="21"/>
        </w:rPr>
        <w:t xml:space="preserve">Author emails:</w:t>
      </w:r>
      <w:r>
        <w:rPr>
          <w:rFonts w:ascii="Arial" w:hAnsi="Arial" w:eastAsia="Arial"/>
          <w:sz w:val="21"/>
        </w:rPr>
        <w:t xml:space="preserve"> </w:t>
      </w:r>
      <w:r>
        <w:rPr>
          <w:rFonts w:ascii="Arial" w:hAnsi="Arial" w:eastAsia="Arial"/>
          <w:sz w:val="21"/>
        </w:rPr>
        <w:t xml:space="preserve">Zhi Chen,</w:t>
      </w:r>
      <w:r>
        <w:rPr>
          <w:rFonts w:ascii="Arial" w:hAnsi="Arial" w:eastAsia="Arial"/>
          <w:sz w:val="21"/>
        </w:rPr>
        <w:t xml:space="preserve"> </w:t>
      </w:r>
      <w:hyperlink r:id="rId23">
        <w:r>
          <w:rPr>
            <w:rStyle w:val="Hyperlink"/>
          </w:rPr>
          <w:t xml:space="preserve">zhichen1@link.cuhk.edu.cn</w:t>
        </w:r>
      </w:hyperlink>
      <w:r>
        <w:rPr>
          <w:rFonts w:ascii="Arial" w:hAnsi="Arial" w:eastAsia="Arial"/>
          <w:sz w:val="21"/>
        </w:rPr>
        <w:t xml:space="preserve">; Teng Qi,</w:t>
      </w:r>
      <w:r>
        <w:rPr>
          <w:rFonts w:ascii="Arial" w:hAnsi="Arial" w:eastAsia="Arial"/>
          <w:sz w:val="21"/>
        </w:rPr>
        <w:t xml:space="preserve"> </w:t>
      </w:r>
      <w:hyperlink r:id="rId20">
        <w:r>
          <w:rPr>
            <w:rStyle w:val="Hyperlink"/>
          </w:rPr>
          <w:t xml:space="preserve">tengqi@link.cuhk.edu.cn</w:t>
        </w:r>
      </w:hyperlink>
    </w:p>
    <w:p>
      <w:pPr>
        <w:pStyle w:val="BodyText"/>
      </w:pPr>
      <w:r>
        <w:rPr>
          <w:rFonts w:ascii="Arial" w:hAnsi="Arial" w:eastAsia="Arial"/>
          <w:b/>
          <w:bCs/>
          <w:sz w:val="21"/>
        </w:rPr>
        <w:t xml:space="preserve">Running title:</w:t>
      </w:r>
      <w:r>
        <w:rPr>
          <w:rFonts w:ascii="Arial" w:hAnsi="Arial" w:eastAsia="Arial"/>
          <w:sz w:val="21"/>
        </w:rPr>
        <w:t xml:space="preserve"> </w:t>
      </w:r>
      <w:r>
        <w:rPr>
          <w:rFonts w:ascii="Arial" w:hAnsi="Arial" w:eastAsia="Arial"/>
          <w:sz w:val="21"/>
        </w:rPr>
        <w:t xml:space="preserve">Replicated IFN remodeling in SLE B cells</w:t>
      </w:r>
    </w:p>
    <w:bookmarkStart w:id="24" w:name="abstract"/>
    <w:p>
      <w:pPr>
        <w:pStyle w:val="Heading2"/>
        <w:keepNext/>
      </w:pPr>
      <w:r>
        <w:rPr>
          <w:rFonts w:ascii="Arial" w:hAnsi="Arial" w:eastAsia="Arial"/>
          <w:b/>
          <w:sz w:val="24"/>
        </w:rPr>
        <w:t xml:space="preserve">Abstract</w:t>
      </w:r>
    </w:p>
    <w:p>
      <w:pPr>
        <w:pStyle w:val="FirstParagraph"/>
      </w:pPr>
      <w:r>
        <w:rPr>
          <w:rFonts w:ascii="Arial" w:hAnsi="Arial" w:eastAsia="Arial"/>
          <w:b/>
          <w:bCs/>
          <w:sz w:val="21"/>
        </w:rPr>
        <w:t xml:space="preserve">Background:</w:t>
      </w:r>
      <w:r>
        <w:rPr>
          <w:rFonts w:ascii="Arial" w:hAnsi="Arial" w:eastAsia="Arial"/>
          <w:sz w:val="21"/>
        </w:rPr>
        <w:t xml:space="preserve"> </w:t>
      </w:r>
      <w:r>
        <w:rPr>
          <w:rFonts w:ascii="Arial" w:hAnsi="Arial" w:eastAsia="Arial"/>
          <w:sz w:val="21"/>
        </w:rPr>
        <w:t xml:space="preserve">Single-cell studies of systemic lupus erythematosus (SLE) can conflate cell identity, abundance and transcription when state labels are outcome-informed or cells are treated as biological replicates. We asked which layer of B-cell remodeling remains defensible after disease-blind reconstruction and biological-unit-aware validation.</w:t>
      </w:r>
    </w:p>
    <w:p>
      <w:pPr>
        <w:pStyle w:val="BodyText"/>
      </w:pPr>
      <w:r>
        <w:rPr>
          <w:rFonts w:ascii="Arial" w:hAnsi="Arial" w:eastAsia="Arial"/>
          <w:b/>
          <w:bCs/>
          <w:sz w:val="21"/>
        </w:rPr>
        <w:t xml:space="preserve">Methods:</w:t>
      </w:r>
      <w:r>
        <w:rPr>
          <w:rFonts w:ascii="Arial" w:hAnsi="Arial" w:eastAsia="Arial"/>
          <w:sz w:val="21"/>
        </w:rPr>
        <w:t xml:space="preserve"> </w:t>
      </w:r>
      <w:r>
        <w:rPr>
          <w:rFonts w:ascii="Arial" w:hAnsi="Arial" w:eastAsia="Arial"/>
          <w:sz w:val="21"/>
        </w:rPr>
        <w:t xml:space="preserve">We reanalysed public single-cell transcriptomic datasets using donor- and cohort-resolved inference. In GSE174188, disease-blind B-lineage reconstruction preceded sample-level composition and raw-count pseudobulk analyses. A frozen-representation identity policy was challenged by 20 end-to-end resampling replicates that recomputed highly variable genes, principal components, Harmony, neighbour graphs and Leiden clusters; observed boundary exchanges were then propagated through the prespecified composition and IFN/ISG models. The IFN/ISG program was evaluated in independent GSE135779 and complemented by prespecified regulatory, response-set and perturbational analyses.</w:t>
      </w:r>
    </w:p>
    <w:p>
      <w:pPr>
        <w:pStyle w:val="BodyText"/>
      </w:pPr>
      <w:r>
        <w:rPr>
          <w:rFonts w:ascii="Arial" w:hAnsi="Arial" w:eastAsia="Arial"/>
          <w:b/>
          <w:bCs/>
          <w:sz w:val="21"/>
        </w:rPr>
        <w:t xml:space="preserve">Results:</w:t>
      </w:r>
      <w:r>
        <w:rPr>
          <w:rFonts w:ascii="Arial" w:hAnsi="Arial" w:eastAsia="Arial"/>
          <w:sz w:val="21"/>
        </w:rPr>
        <w:t xml:space="preserve"> </w:t>
      </w:r>
      <w:r>
        <w:rPr>
          <w:rFonts w:ascii="Arial" w:hAnsi="Arial" w:eastAsia="Arial"/>
          <w:sz w:val="21"/>
        </w:rPr>
        <w:t xml:space="preserve">Among 150,402 GSE174188 B-lineage cells, frozen-representation resampling supported broad conventional-B (B_CONV) and antibody-secreting-cell (B_ASC) compartments but not stable fine-grained naive/memory assignments. End-to-end resampling retained high global concordance yet missed the prespecified B_ASC overlap criterion (median Jaccard 0.930 versus 0.95), restricting the partition to an analysis scaffold. Propagating observed boundary exchanges preserved both the primary B_ASC composition null and the B_CONV IFN/ISG effects. The primary B_ASC estimate was 0.947 (95% confidence interval 0.636-1.410; P=0.787). By contrast, the IFN/ISG program was higher in the primary GSE174188 contrast (effect 0.837; q=2.98 x 10^-6), the donor-nonoverlap internal contrast (effect 1.086; q=3.61 x 10^-4) and independent GSE135779 childhood donors (11 controls and 32 SLE; effect 1.042; q=2.98 x 10^-6). All ten jointly tested IFN genes were positive despite weak genome-wide agreement (Spearman rho=0.026). STAT1/STAT2 evidence remained directionally concordant across ULM, CAMERA and FRY, while broader M5911 depletion attenuated discovery STAT2 and limited claims of overlap-independent regulation.</w:t>
      </w:r>
    </w:p>
    <w:p>
      <w:pPr>
        <w:pStyle w:val="BodyText"/>
      </w:pPr>
      <w:r>
        <w:rPr>
          <w:rFonts w:ascii="Arial" w:hAnsi="Arial" w:eastAsia="Arial"/>
          <w:b/>
          <w:bCs/>
          <w:sz w:val="21"/>
        </w:rPr>
        <w:t xml:space="preserve">Conclusions:</w:t>
      </w:r>
      <w:r>
        <w:rPr>
          <w:rFonts w:ascii="Arial" w:hAnsi="Arial" w:eastAsia="Arial"/>
          <w:sz w:val="21"/>
        </w:rPr>
        <w:t xml:space="preserve"> </w:t>
      </w:r>
      <w:r>
        <w:rPr>
          <w:rFonts w:ascii="Arial" w:hAnsi="Arial" w:eastAsia="Arial"/>
          <w:sz w:val="21"/>
        </w:rPr>
        <w:t xml:space="preserve">The reproducible signal in these data is a process-level IFN remodeling program within a disease-blind conventional-B analysis scaffold, not a universally stable B-cell taxonomy. Regulatory evidence is convergent but observational and does not establish a causal regulator or unique upstream stimulus.</w:t>
      </w:r>
    </w:p>
    <w:bookmarkEnd w:id="24"/>
    <w:bookmarkStart w:id="25" w:name="keywords"/>
    <w:p>
      <w:pPr>
        <w:pStyle w:val="Heading2"/>
        <w:keepNext/>
      </w:pPr>
      <w:r>
        <w:rPr>
          <w:rFonts w:ascii="Arial" w:hAnsi="Arial" w:eastAsia="Arial"/>
          <w:b/>
          <w:sz w:val="24"/>
        </w:rPr>
        <w:t xml:space="preserve">Keywords</w:t>
      </w:r>
    </w:p>
    <w:p>
      <w:pPr>
        <w:pStyle w:val="FirstParagraph"/>
      </w:pPr>
      <w:r>
        <w:rPr>
          <w:rFonts w:ascii="Arial" w:hAnsi="Arial" w:eastAsia="Arial"/>
          <w:sz w:val="21"/>
        </w:rPr>
        <w:t xml:space="preserve">systemic lupus erythematosus; B cells; single-cell RNA sequencing; pseudobulk; interferon; independent validation; transcription-factor activity; reproducibility</w:t>
      </w:r>
    </w:p>
    <w:bookmarkEnd w:id="25"/>
    <w:bookmarkStart w:id="26" w:name="background"/>
    <w:p>
      <w:pPr>
        <w:pStyle w:val="Heading2"/>
        <w:keepNext/>
      </w:pPr>
      <w:r>
        <w:rPr>
          <w:rFonts w:ascii="Arial" w:hAnsi="Arial" w:eastAsia="Arial"/>
          <w:b/>
          <w:sz w:val="24"/>
        </w:rPr>
        <w:t xml:space="preserve">Background</w:t>
      </w:r>
    </w:p>
    <w:p>
      <w:pPr>
        <w:pStyle w:val="FirstParagraph"/>
      </w:pPr>
      <w:r>
        <w:rPr>
          <w:rFonts w:ascii="Arial" w:hAnsi="Arial" w:eastAsia="Arial"/>
          <w:sz w:val="21"/>
        </w:rPr>
        <w:t xml:space="preserve">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pStyle w:val="BodyText"/>
      </w:pPr>
      <w:r>
        <w:rPr>
          <w:rFonts w:ascii="Arial" w:hAnsi="Arial" w:eastAsia="Arial"/>
          <w:sz w:val="21"/>
        </w:rPr>
        <w:t xml:space="preserve">This distinction is especially important in SLE because neither interferon activity nor plasmablast biology is novel, and both vary with disease context.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pStyle w:val="BodyText"/>
      </w:pPr>
      <w:r>
        <w:rPr>
          <w:rFonts w:ascii="Arial" w:hAnsi="Arial" w:eastAsia="Arial"/>
          <w:sz w:val="21"/>
        </w:rPr>
        <w:t xml:space="preserve">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pStyle w:val="BodyText"/>
      </w:pPr>
      <w:r>
        <w:rPr>
          <w:rFonts w:ascii="Arial" w:hAnsi="Arial" w:eastAsia="Arial"/>
          <w:sz w:val="21"/>
        </w:rPr>
        <w:t xml:space="preserve">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independent GSE135779 and challenged by identity-uncertainty propagation, cross-dataset gene-level comparison and prespecified regulatory and response-based analyses. The intended contribution is thus an evidence hierarchy: to distinguish the B-cell features that survive increasingly stringent reconstruction and validation from those that remain cohort-specific, representation-dependent or mechanistically unproven.</w:t>
      </w:r>
    </w:p>
    <w:bookmarkEnd w:id="26"/>
    <w:bookmarkStart w:id="44" w:name="methods"/>
    <w:p>
      <w:pPr>
        <w:pStyle w:val="Heading2"/>
        <w:keepNext/>
      </w:pPr>
      <w:r>
        <w:rPr>
          <w:rFonts w:ascii="Arial" w:hAnsi="Arial" w:eastAsia="Arial"/>
          <w:b/>
          <w:sz w:val="24"/>
        </w:rPr>
        <w:t xml:space="preserve">Methods</w:t>
      </w:r>
    </w:p>
    <w:bookmarkStart w:id="27" w:name="study-design-and-data-resources"/>
    <w:p>
      <w:pPr>
        <w:pStyle w:val="Heading3"/>
        <w:keepNext/>
      </w:pPr>
      <w:r>
        <w:rPr>
          <w:rFonts w:ascii="Arial" w:hAnsi="Arial" w:eastAsia="Arial"/>
          <w:b/>
          <w:sz w:val="21"/>
        </w:rPr>
        <w:t xml:space="preserve">Study design and data resources</w:t>
      </w:r>
    </w:p>
    <w:p>
      <w:pPr>
        <w:pStyle w:val="FirstParagraph"/>
      </w:pPr>
      <w:r>
        <w:rPr>
          <w:rFonts w:ascii="Arial" w:hAnsi="Arial" w:eastAsia="Arial"/>
          <w:sz w:val="21"/>
        </w:rPr>
        <w:t xml:space="preserve">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bookmarkEnd w:id="27"/>
    <w:bookmarkStart w:id="28" w:name="X108f7fd447e3aaf23279f02c6062058f361e53d"/>
    <w:p>
      <w:pPr>
        <w:pStyle w:val="Heading3"/>
        <w:keepNext/>
      </w:pPr>
      <w:r>
        <w:rPr>
          <w:rFonts w:ascii="Arial" w:hAnsi="Arial" w:eastAsia="Arial"/>
          <w:b/>
          <w:sz w:val="21"/>
        </w:rPr>
        <w:t xml:space="preserve">Source integrity, metadata hierarchy and hard quality control</w:t>
      </w:r>
    </w:p>
    <w:p>
      <w:pPr>
        <w:pStyle w:val="FirstParagraph"/>
      </w:pPr>
      <w:r>
        <w:rPr>
          <w:rFonts w:ascii="Arial" w:hAnsi="Arial" w:eastAsia="Arial"/>
          <w:sz w:val="21"/>
        </w:rPr>
        <w:t xml:space="preserve">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bookmarkEnd w:id="28"/>
    <w:bookmarkStart w:id="29" w:name="Xa888df49dbae022a4267a88b37fc906eab60368"/>
    <w:p>
      <w:pPr>
        <w:pStyle w:val="Heading3"/>
        <w:keepNext/>
      </w:pPr>
      <w:r>
        <w:rPr>
          <w:rFonts w:ascii="Arial" w:hAnsi="Arial" w:eastAsia="Arial"/>
          <w:b/>
          <w:sz w:val="21"/>
        </w:rPr>
        <w:t xml:space="preserve">Disease-blind representation and identity adjudication</w:t>
      </w:r>
    </w:p>
    <w:p>
      <w:pPr>
        <w:pStyle w:val="FirstParagraph"/>
      </w:pPr>
      <w:r>
        <w:rPr>
          <w:rFonts w:ascii="Arial" w:hAnsi="Arial" w:eastAsia="Arial"/>
          <w:sz w:val="21"/>
        </w:rPr>
        <w:t xml:space="preserve">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bookmarkEnd w:id="29"/>
    <w:bookmarkStart w:id="30" w:name="X8e855ee1576141a1f917c63aa41d231d38c65b9"/>
    <w:p>
      <w:pPr>
        <w:pStyle w:val="Heading3"/>
        <w:keepNext/>
      </w:pPr>
      <w:r>
        <w:rPr>
          <w:rFonts w:ascii="Arial" w:hAnsi="Arial" w:eastAsia="Arial"/>
          <w:b/>
          <w:sz w:val="21"/>
        </w:rPr>
        <w:t xml:space="preserve">End-to-end identity sensitivity and uncertainty propagation</w:t>
      </w:r>
    </w:p>
    <w:p>
      <w:pPr>
        <w:pStyle w:val="FirstParagraph"/>
      </w:pPr>
      <w:r>
        <w:rPr>
          <w:rFonts w:ascii="Arial" w:hAnsi="Arial" w:eastAsia="Arial"/>
          <w:sz w:val="21"/>
        </w:rPr>
        <w:t xml:space="preserve">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pStyle w:val="BodyText"/>
      </w:pPr>
      <w:r>
        <w:rPr>
          <w:rFonts w:ascii="Arial" w:hAnsi="Arial" w:eastAsia="Arial"/>
          <w:sz w:val="21"/>
        </w:rPr>
        <w:t xml:space="preserve">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bookmarkEnd w:id="30"/>
    <w:bookmarkStart w:id="31" w:name="sample-level-composition"/>
    <w:p>
      <w:pPr>
        <w:pStyle w:val="Heading3"/>
        <w:keepNext/>
      </w:pPr>
      <w:r>
        <w:rPr>
          <w:rFonts w:ascii="Arial" w:hAnsi="Arial" w:eastAsia="Arial"/>
          <w:b/>
          <w:sz w:val="21"/>
        </w:rPr>
        <w:t xml:space="preserve">Sample-level composition</w:t>
      </w:r>
    </w:p>
    <w:p>
      <w:pPr>
        <w:pStyle w:val="FirstParagraph"/>
      </w:pPr>
      <w:r>
        <w:rPr>
          <w:rFonts w:ascii="Arial" w:hAnsi="Arial" w:eastAsia="Arial"/>
          <w:sz w:val="21"/>
        </w:rPr>
        <w:t xml:space="preserve">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w:t>
      </w:r>
      <w:r>
        <w:rPr>
          <w:rFonts w:ascii="Arial" w:hAnsi="Arial" w:eastAsia="Arial"/>
          <w:sz w:val="21"/>
        </w:rPr>
        <w:t xml:space="preserve"> </w:t>
      </w:r>
      <w:r>
        <w:rPr>
          <w:rStyle w:val="VerbatimChar"/>
          <w:rFonts w:ascii="Arial" w:hAnsi="Arial" w:eastAsia="Arial"/>
          <w:sz w:val="21"/>
        </w:rPr>
        <w:t xml:space="preserve">managed</w:t>
      </w:r>
      <w:r>
        <w:rPr>
          <w:rFonts w:ascii="Arial" w:hAnsi="Arial" w:eastAsia="Arial"/>
          <w:sz w:val="21"/>
        </w:rPr>
        <w:t xml:space="preserve"> </w:t>
      </w:r>
      <w:r>
        <w:rPr>
          <w:rFonts w:ascii="Arial" w:hAnsi="Arial" w:eastAsia="Arial"/>
          <w:sz w:val="21"/>
        </w:rPr>
        <w:t xml:space="preserve">SLE versus</w:t>
      </w:r>
      <w:r>
        <w:rPr>
          <w:rFonts w:ascii="Arial" w:hAnsi="Arial" w:eastAsia="Arial"/>
          <w:sz w:val="21"/>
        </w:rPr>
        <w:t xml:space="preserve"> </w:t>
      </w:r>
      <w:r>
        <w:rPr>
          <w:rStyle w:val="VerbatimChar"/>
          <w:rFonts w:ascii="Arial" w:hAnsi="Arial" w:eastAsia="Arial"/>
          <w:sz w:val="21"/>
        </w:rPr>
        <w:t xml:space="preserve">normal</w:t>
      </w:r>
      <w:r>
        <w:rPr>
          <w:rFonts w:ascii="Arial" w:hAnsi="Arial" w:eastAsia="Arial"/>
          <w:sz w:val="21"/>
        </w:rPr>
        <w:t xml:space="preserve">, adjusted for age and ethnicity. Internal processing-cohort-2 and secondary processing-cohort-3 analyses of the source-metadata</w:t>
      </w:r>
      <w:r>
        <w:rPr>
          <w:rFonts w:ascii="Arial" w:hAnsi="Arial" w:eastAsia="Arial"/>
          <w:sz w:val="21"/>
        </w:rPr>
        <w:t xml:space="preserve"> </w:t>
      </w:r>
      <w:r>
        <w:rPr>
          <w:rStyle w:val="VerbatimChar"/>
          <w:rFonts w:ascii="Arial" w:hAnsi="Arial" w:eastAsia="Arial"/>
          <w:sz w:val="21"/>
        </w:rPr>
        <w:t xml:space="preserve">flare</w:t>
      </w:r>
      <w:r>
        <w:rPr>
          <w:rFonts w:ascii="Arial" w:hAnsi="Arial" w:eastAsia="Arial"/>
          <w:sz w:val="21"/>
        </w:rPr>
        <w:t xml:space="preserve"> </w:t>
      </w:r>
      <w:r>
        <w:rPr>
          <w:rFonts w:ascii="Arial" w:hAnsi="Arial" w:eastAsia="Arial"/>
          <w:sz w:val="21"/>
        </w:rPr>
        <w:t xml:space="preserve">category were estimated separately. Bridge strata were not pooled to create an otherwise unsupported disease coefficient. Model-based and sandwich uncertainty, threshold analyses, one-sample-per-donor fits and leave-one-out diagnostics were retained.</w:t>
      </w:r>
    </w:p>
    <w:bookmarkEnd w:id="31"/>
    <w:bookmarkStart w:id="32" w:name="Xc099a6561581323a5bb8abe84713d0e6febeaae"/>
    <w:p>
      <w:pPr>
        <w:pStyle w:val="Heading3"/>
        <w:keepNext/>
      </w:pPr>
      <w:r>
        <w:rPr>
          <w:rFonts w:ascii="Arial" w:hAnsi="Arial" w:eastAsia="Arial"/>
          <w:b/>
          <w:sz w:val="21"/>
        </w:rPr>
        <w:t xml:space="preserve">Raw-count pseudobulk and gene-level inference</w:t>
      </w:r>
    </w:p>
    <w:p>
      <w:pPr>
        <w:pStyle w:val="FirstParagraph"/>
      </w:pPr>
      <w:r>
        <w:rPr>
          <w:rFonts w:ascii="Arial" w:hAnsi="Arial" w:eastAsia="Arial"/>
          <w:sz w:val="21"/>
        </w:rPr>
        <w:t xml:space="preserve">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bookmarkEnd w:id="32"/>
    <w:bookmarkStart w:id="33" w:name="frozen-program-inference"/>
    <w:p>
      <w:pPr>
        <w:pStyle w:val="Heading3"/>
        <w:keepNext/>
      </w:pPr>
      <w:r>
        <w:rPr>
          <w:rFonts w:ascii="Arial" w:hAnsi="Arial" w:eastAsia="Arial"/>
          <w:b/>
          <w:sz w:val="21"/>
        </w:rPr>
        <w:t xml:space="preserve">Frozen program inference</w:t>
      </w:r>
    </w:p>
    <w:p>
      <w:pPr>
        <w:pStyle w:val="FirstParagraph"/>
      </w:pPr>
      <w:r>
        <w:rPr>
          <w:rFonts w:ascii="Arial" w:hAnsi="Arial" w:eastAsia="Arial"/>
          <w:sz w:val="21"/>
        </w:rPr>
        <w:t xml:space="preserve">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bookmarkEnd w:id="33"/>
    <w:bookmarkStart w:id="34" w:name="independent-gse135779-validation"/>
    <w:p>
      <w:pPr>
        <w:pStyle w:val="Heading3"/>
        <w:keepNext/>
      </w:pPr>
      <w:r>
        <w:rPr>
          <w:rFonts w:ascii="Arial" w:hAnsi="Arial" w:eastAsia="Arial"/>
          <w:b/>
          <w:sz w:val="21"/>
        </w:rPr>
        <w:t xml:space="preserve">Independent GSE135779 validation</w:t>
      </w:r>
    </w:p>
    <w:p>
      <w:pPr>
        <w:pStyle w:val="FirstParagraph"/>
      </w:pPr>
      <w:r>
        <w:rPr>
          <w:rFonts w:ascii="Arial" w:hAnsi="Arial" w:eastAsia="Arial"/>
          <w:sz w:val="21"/>
        </w:rPr>
        <w:t xml:space="preserve">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bookmarkEnd w:id="34"/>
    <w:bookmarkStart w:id="35" w:name="Xa5d9851ce3adaf8983ca94342ae449bd8fdaf2d"/>
    <w:p>
      <w:pPr>
        <w:pStyle w:val="Heading3"/>
        <w:keepNext/>
      </w:pPr>
      <w:r>
        <w:rPr>
          <w:rFonts w:ascii="Arial" w:hAnsi="Arial" w:eastAsia="Arial"/>
          <w:b/>
          <w:sz w:val="21"/>
        </w:rPr>
        <w:t xml:space="preserve">Reference-calibrated external mapping sensitivity</w:t>
      </w:r>
    </w:p>
    <w:p>
      <w:pPr>
        <w:pStyle w:val="FirstParagraph"/>
      </w:pPr>
      <w:r>
        <w:rPr>
          <w:rFonts w:ascii="Arial" w:hAnsi="Arial" w:eastAsia="Arial"/>
          <w:sz w:val="21"/>
        </w:rPr>
        <w:t xml:space="preserve">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pStyle w:val="BodyText"/>
      </w:pPr>
      <w:r>
        <w:rPr>
          <w:rFonts w:ascii="Arial" w:hAnsi="Arial" w:eastAsia="Arial"/>
          <w:sz w:val="21"/>
        </w:rPr>
        <w:t xml:space="preserve">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bookmarkEnd w:id="35"/>
    <w:bookmarkStart w:id="36" w:name="X51c388de1a81b33a14fe1afe6ac4aadb14259a9"/>
    <w:p>
      <w:pPr>
        <w:pStyle w:val="Heading3"/>
        <w:keepNext/>
      </w:pPr>
      <w:r>
        <w:rPr>
          <w:rFonts w:ascii="Arial" w:hAnsi="Arial" w:eastAsia="Arial"/>
          <w:b/>
          <w:sz w:val="21"/>
        </w:rPr>
        <w:t xml:space="preserve">Influence, specificity and cross-dataset analyses</w:t>
      </w:r>
    </w:p>
    <w:p>
      <w:pPr>
        <w:pStyle w:val="FirstParagraph"/>
      </w:pPr>
      <w:r>
        <w:rPr>
          <w:rFonts w:ascii="Arial" w:hAnsi="Arial" w:eastAsia="Arial"/>
          <w:sz w:val="21"/>
        </w:rPr>
        <w:t xml:space="preserve">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bookmarkEnd w:id="36"/>
    <w:bookmarkStart w:id="37" w:name="prespecified-tf-target-activity"/>
    <w:p>
      <w:pPr>
        <w:pStyle w:val="Heading3"/>
        <w:keepNext/>
      </w:pPr>
      <w:r>
        <w:rPr>
          <w:rFonts w:ascii="Arial" w:hAnsi="Arial" w:eastAsia="Arial"/>
          <w:b/>
          <w:sz w:val="21"/>
        </w:rPr>
        <w:t xml:space="preserve">Prespecified TF-target activity</w:t>
      </w:r>
    </w:p>
    <w:p>
      <w:pPr>
        <w:pStyle w:val="FirstParagraph"/>
      </w:pPr>
      <w:r>
        <w:rPr>
          <w:rFonts w:ascii="Arial" w:hAnsi="Arial" w:eastAsia="Arial"/>
          <w:sz w:val="21"/>
        </w:rPr>
        <w:t xml:space="preserve">Human CollecTRI interactions [25,26] were retrieved from OmniPath on 15 August 2026 and fixed by raw SHA-256</w:t>
      </w:r>
      <w:r>
        <w:rPr>
          <w:rFonts w:ascii="Arial" w:hAnsi="Arial" w:eastAsia="Arial"/>
          <w:sz w:val="21"/>
        </w:rPr>
        <w:t xml:space="preserve"> </w:t>
      </w:r>
      <w:r>
        <w:rPr>
          <w:rStyle w:val="VerbatimChar"/>
          <w:rFonts w:ascii="Arial" w:hAnsi="Arial" w:eastAsia="Arial"/>
          <w:sz w:val="21"/>
        </w:rPr>
        <w:t xml:space="preserve">98EF1163146D2E28EE413E7C909174998CD9D742EA93D97CCFE93F3A14C160C1</w:t>
      </w:r>
      <w:r>
        <w:rPr>
          <w:rFonts w:ascii="Arial" w:hAnsi="Arial" w:eastAsia="Arial"/>
          <w:sz w:val="21"/>
        </w:rPr>
        <w:t xml:space="preserve">.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pStyle w:val="BodyText"/>
      </w:pPr>
      <w:r>
        <w:rPr>
          <w:rFonts w:ascii="Arial" w:hAnsi="Arial" w:eastAsia="Arial"/>
          <w:sz w:val="21"/>
        </w:rPr>
        <w:t xml:space="preserve">For each tested Ensembl feature, the ranked statistic was</w:t>
      </w:r>
      <w:r>
        <w:rPr>
          <w:rFonts w:ascii="Arial" w:hAnsi="Arial" w:eastAsia="Arial"/>
          <w:sz w:val="21"/>
        </w:rPr>
        <w:t xml:space="preserve"> </w:t>
      </w:r>
      <w:r>
        <w:rPr>
          <w:rStyle w:val="VerbatimChar"/>
          <w:rFonts w:ascii="Arial" w:hAnsi="Arial" w:eastAsia="Arial"/>
          <w:sz w:val="21"/>
        </w:rPr>
        <w:t xml:space="preserve">sign(logFC) * sqrt(F)</w:t>
      </w:r>
      <w:r>
        <w:rPr>
          <w:rFonts w:ascii="Arial" w:hAnsi="Arial" w:eastAsia="Arial"/>
          <w:sz w:val="21"/>
        </w:rPr>
        <w:t xml:space="preserve"> </w:t>
      </w:r>
      <w:r>
        <w:rPr>
          <w:rFonts w:ascii="Arial" w:hAnsi="Arial" w:eastAsia="Arial"/>
          <w:sz w:val="21"/>
        </w:rPr>
        <w:t xml:space="preserve">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bookmarkEnd w:id="37"/>
    <w:bookmarkStart w:id="38" w:name="correlation-aware-stat1stat2-sensitivity"/>
    <w:p>
      <w:pPr>
        <w:pStyle w:val="Heading3"/>
        <w:keepNext/>
      </w:pPr>
      <w:r>
        <w:rPr>
          <w:rFonts w:ascii="Arial" w:hAnsi="Arial" w:eastAsia="Arial"/>
          <w:b/>
          <w:sz w:val="21"/>
        </w:rPr>
        <w:t xml:space="preserve">Correlation-aware STAT1/STAT2 sensitivity</w:t>
      </w:r>
    </w:p>
    <w:p>
      <w:pPr>
        <w:pStyle w:val="FirstParagraph"/>
      </w:pPr>
      <w:r>
        <w:rPr>
          <w:rFonts w:ascii="Arial" w:hAnsi="Arial" w:eastAsia="Arial"/>
          <w:sz w:val="21"/>
        </w:rPr>
        <w:t xml:space="preserve">Because genes within a regulon are correlated, the rank-based ULM results were supplemented by a correlation-aware sensitivity that retained the same regulators, signed CollecTRI targets, contrasts, model matrices and</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w:t>
      </w:r>
      <w:r>
        <w:rPr>
          <w:rFonts w:ascii="Arial" w:hAnsi="Arial" w:eastAsia="Arial"/>
          <w:sz w:val="21"/>
        </w:rPr>
        <w:t xml:space="preserve">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bookmarkEnd w:id="38"/>
    <w:bookmarkStart w:id="39" w:name="Xbac194d5314c7204ef72cfb61fd3eeeed015b37"/>
    <w:p>
      <w:pPr>
        <w:pStyle w:val="Heading3"/>
        <w:keepNext/>
      </w:pPr>
      <w:r>
        <w:rPr>
          <w:rFonts w:ascii="Arial" w:hAnsi="Arial" w:eastAsia="Arial"/>
          <w:b/>
          <w:sz w:val="21"/>
        </w:rPr>
        <w:t xml:space="preserve">STAT1/STAT2 IFN-overlap-depletion sensitivity</w:t>
      </w:r>
    </w:p>
    <w:p>
      <w:pPr>
        <w:pStyle w:val="FirstParagraph"/>
      </w:pPr>
      <w:r>
        <w:rPr>
          <w:rFonts w:ascii="Arial" w:hAnsi="Arial" w:eastAsia="Arial"/>
          <w:sz w:val="21"/>
        </w:rPr>
        <w:t xml:space="preserve">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bookmarkEnd w:id="39"/>
    <w:bookmarkStart w:id="40" w:name="orthogonal-interferon-response-analyses"/>
    <w:p>
      <w:pPr>
        <w:pStyle w:val="Heading3"/>
        <w:keepNext/>
      </w:pPr>
      <w:r>
        <w:rPr>
          <w:rFonts w:ascii="Arial" w:hAnsi="Arial" w:eastAsia="Arial"/>
          <w:b/>
          <w:sz w:val="21"/>
        </w:rPr>
        <w:t xml:space="preserve">Orthogonal interferon-response analyses</w:t>
      </w:r>
    </w:p>
    <w:p>
      <w:pPr>
        <w:pStyle w:val="FirstParagraph"/>
      </w:pPr>
      <w:r>
        <w:rPr>
          <w:rFonts w:ascii="Arial" w:hAnsi="Arial" w:eastAsia="Arial"/>
          <w:sz w:val="21"/>
        </w:rPr>
        <w:t xml:space="preserve">The MSigDB [31] 2026.1.Hs Hallmark set</w:t>
      </w:r>
      <w:r>
        <w:rPr>
          <w:rFonts w:ascii="Arial" w:hAnsi="Arial" w:eastAsia="Arial"/>
          <w:sz w:val="21"/>
        </w:rPr>
        <w:t xml:space="preserve"> </w:t>
      </w:r>
      <w:r>
        <w:rPr>
          <w:rStyle w:val="VerbatimChar"/>
          <w:rFonts w:ascii="Arial" w:hAnsi="Arial" w:eastAsia="Arial"/>
          <w:sz w:val="21"/>
        </w:rPr>
        <w:t xml:space="preserve">HALLMARK_INTERFERON_ALPHA_RESPONSE</w:t>
      </w:r>
      <w:r>
        <w:rPr>
          <w:rFonts w:ascii="Arial" w:hAnsi="Arial" w:eastAsia="Arial"/>
          <w:sz w:val="21"/>
        </w:rPr>
        <w:t xml:space="preserve"> </w:t>
      </w:r>
      <w:r>
        <w:rPr>
          <w:rFonts w:ascii="Arial" w:hAnsi="Arial" w:eastAsia="Arial"/>
          <w:sz w:val="21"/>
        </w:rPr>
        <w:t xml:space="preserve">(M5911; 97 fixed member genes) was tested against each complete ranked contrast. Preranked enrichment used 10,000 deterministic gene-label permutations; normalized enrichment scores and descriptive three-contrast q values were reported outside the 24-test TF family.</w:t>
      </w:r>
    </w:p>
    <w:p>
      <w:pPr>
        <w:pStyle w:val="BodyText"/>
      </w:pPr>
      <w:r>
        <w:rPr>
          <w:rFonts w:ascii="Arial" w:hAnsi="Arial" w:eastAsia="Arial"/>
          <w:sz w:val="21"/>
        </w:rPr>
        <w:t xml:space="preserve">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bookmarkEnd w:id="40"/>
    <w:bookmarkStart w:id="41" w:name="statistical-analysis-and-multiplicity"/>
    <w:p>
      <w:pPr>
        <w:pStyle w:val="Heading3"/>
        <w:keepNext/>
      </w:pPr>
      <w:r>
        <w:rPr>
          <w:rFonts w:ascii="Arial" w:hAnsi="Arial" w:eastAsia="Arial"/>
          <w:b/>
          <w:sz w:val="21"/>
        </w:rPr>
        <w:t xml:space="preserve">Statistical analysis and multiplicity</w:t>
      </w:r>
    </w:p>
    <w:p>
      <w:pPr>
        <w:pStyle w:val="FirstParagraph"/>
      </w:pPr>
      <w:r>
        <w:rPr>
          <w:rFonts w:ascii="Arial" w:hAnsi="Arial" w:eastAsia="Arial"/>
          <w:sz w:val="21"/>
        </w:rPr>
        <w:t xml:space="preserve">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-tested genes within each contrast. Frozen-program linear models used HC3 covariance and Benjamini-Hochberg correction across the four prespecified programs within each analysis. Ranked program-arm CAMERA results were corrected within each corresponding analysis.</w:t>
      </w:r>
    </w:p>
    <w:p>
      <w:pPr>
        <w:pStyle w:val="BodyText"/>
      </w:pPr>
      <w:r>
        <w:rPr>
          <w:rFonts w:ascii="Arial" w:hAnsi="Arial" w:eastAsia="Arial"/>
          <w:sz w:val="21"/>
        </w:rPr>
        <w:t xml:space="preserve">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Additional file 4.</w:t>
      </w:r>
    </w:p>
    <w:bookmarkEnd w:id="41"/>
    <w:bookmarkStart w:id="42" w:name="generative-ai-assistance"/>
    <w:p>
      <w:pPr>
        <w:pStyle w:val="Heading3"/>
        <w:keepNext/>
      </w:pPr>
      <w:r>
        <w:rPr>
          <w:rFonts w:ascii="Arial" w:hAnsi="Arial" w:eastAsia="Arial"/>
          <w:b/>
          <w:sz w:val="21"/>
        </w:rPr>
        <w:t xml:space="preserve">Generative AI assistance</w:t>
      </w:r>
    </w:p>
    <w:p>
      <w:pPr>
        <w:pStyle w:val="FirstParagraph"/>
      </w:pPr>
      <w:r>
        <w:rPr>
          <w:rFonts w:ascii="Arial" w:hAnsi="Arial" w:eastAsia="Arial"/>
          <w:sz w:val="21"/>
        </w:rPr>
        <w:t xml:space="preserve">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bookmarkEnd w:id="42"/>
    <w:bookmarkStart w:id="43" w:name="reproducibility-and-provenance"/>
    <w:p>
      <w:pPr>
        <w:pStyle w:val="Heading3"/>
        <w:keepNext/>
      </w:pPr>
      <w:r>
        <w:rPr>
          <w:rFonts w:ascii="Arial" w:hAnsi="Arial" w:eastAsia="Arial"/>
          <w:b/>
          <w:sz w:val="21"/>
        </w:rPr>
        <w:t xml:space="preserve">Reproducibility and provenance</w:t>
      </w:r>
    </w:p>
    <w:p>
      <w:pPr>
        <w:pStyle w:val="FirstParagraph"/>
      </w:pPr>
      <w:r>
        <w:rPr>
          <w:rFonts w:ascii="Arial" w:hAnsi="Arial" w:eastAsia="Arial"/>
          <w:sz w:val="21"/>
        </w:rPr>
        <w:t xml:space="preserve">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bookmarkEnd w:id="43"/>
    <w:bookmarkEnd w:id="44"/>
    <w:bookmarkStart w:id="51" w:name="results"/>
    <w:p>
      <w:pPr>
        <w:pStyle w:val="Heading2"/>
        <w:keepNext/>
      </w:pPr>
      <w:r>
        <w:rPr>
          <w:rFonts w:ascii="Arial" w:hAnsi="Arial" w:eastAsia="Arial"/>
          <w:b/>
          <w:sz w:val="24"/>
        </w:rPr>
        <w:t xml:space="preserve">Results</w:t>
      </w:r>
    </w:p>
    <w:bookmarkStart w:id="45" w:name="Xf8bbecfb2a48e8dfb06991b1fd22e41865ccc3a"/>
    <w:p>
      <w:pPr>
        <w:pStyle w:val="Heading3"/>
        <w:keepNext/>
      </w:pPr>
      <w:r>
        <w:rPr>
          <w:rFonts w:ascii="Arial" w:hAnsi="Arial" w:eastAsia="Arial"/>
          <w:b/>
          <w:sz w:val="21"/>
        </w:rPr>
        <w:t xml:space="preserve">Disease-blind reconstruction supports an analysis scaffold, not a reproducible taxonomy</w:t>
      </w:r>
    </w:p>
    <w:p>
      <w:pPr>
        <w:pStyle w:val="FirstParagraph"/>
      </w:pPr>
      <w:r>
        <w:rPr>
          <w:rFonts w:ascii="Arial" w:hAnsi="Arial" w:eastAsia="Arial"/>
          <w:sz w:val="21"/>
        </w:rPr>
        <w:t xml:space="preserve">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pStyle w:val="BodyText"/>
      </w:pPr>
      <w:r>
        <w:rPr>
          <w:rFonts w:ascii="Arial" w:hAnsi="Arial" w:eastAsia="Arial"/>
          <w:sz w:val="21"/>
        </w:rPr>
        <w:t xml:space="preserve">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pStyle w:val="BodyText"/>
      </w:pPr>
      <w:r>
        <w:rPr>
          <w:rFonts w:ascii="Arial" w:hAnsi="Arial" w:eastAsia="Arial"/>
          <w:sz w:val="21"/>
        </w:rPr>
        <w:t xml:space="preserve">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pStyle w:val="BodyText"/>
      </w:pPr>
      <w:r>
        <w:rPr>
          <w:rFonts w:ascii="Arial" w:hAnsi="Arial" w:eastAsia="Arial"/>
          <w:sz w:val="21"/>
        </w:rPr>
        <w:t xml:space="preserve">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pStyle w:val="BodyText"/>
      </w:pPr>
      <w:r>
        <w:rPr>
          <w:rFonts w:ascii="Arial" w:hAnsi="Arial" w:eastAsia="Arial"/>
          <w:sz w:val="21"/>
        </w:rPr>
        <w:t xml:space="preserve">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bookmarkEnd w:id="45"/>
    <w:bookmarkStart w:id="46" w:name="X936845dc6bb2da5f8bb3a05d81f1207b720c4e0"/>
    <w:p>
      <w:pPr>
        <w:pStyle w:val="Heading3"/>
        <w:keepNext/>
      </w:pPr>
      <w:r>
        <w:rPr>
          <w:rFonts w:ascii="Arial" w:hAnsi="Arial" w:eastAsia="Arial"/>
          <w:b/>
          <w:sz w:val="21"/>
        </w:rPr>
        <w:t xml:space="preserve">B_ASC abundance does not explain the primary disease contrast</w:t>
      </w:r>
    </w:p>
    <w:p>
      <w:pPr>
        <w:pStyle w:val="FirstParagraph"/>
      </w:pPr>
      <w:r>
        <w:rPr>
          <w:rFonts w:ascii="Arial" w:hAnsi="Arial" w:eastAsia="Arial"/>
          <w:sz w:val="21"/>
        </w:rPr>
        <w:t xml:space="preserve">After the broad scaffold was fixed, outcomes were joined and composition was analysed at the sample-cohort level, with at least 50 eligible B cells per stratum and no cell-level disease test. In the primary processing-cohort-4 comparison, B_ASC relative abundance was not higher in SLE: the conditional odds ratio was 0.947 (95% confidence interval 0.636-1.410; P=0.787), with adjusted fractions of 1.61% in controls and 1.52% in source-defined managed SLE. The HC1 sandwich analysis was concordant (95% confidence interval 0.651-1.376; P=0.774), and none of the 90 leave-one-sample-out fits generated evidence that reversed the primary interpretation.</w:t>
      </w:r>
    </w:p>
    <w:p>
      <w:pPr>
        <w:pStyle w:val="BodyText"/>
      </w:pPr>
      <w:r>
        <w:rPr>
          <w:rFonts w:ascii="Arial" w:hAnsi="Arial" w:eastAsia="Arial"/>
          <w:sz w:val="21"/>
        </w:rPr>
        <w:t xml:space="preserve">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bookmarkEnd w:id="46"/>
    <w:bookmarkStart w:id="47" w:name="Xe9c8fdfa39f66eea3ec5b00fa0c13bb31273f76"/>
    <w:p>
      <w:pPr>
        <w:pStyle w:val="Heading3"/>
        <w:keepNext/>
      </w:pPr>
      <w:r>
        <w:rPr>
          <w:rFonts w:ascii="Arial" w:hAnsi="Arial" w:eastAsia="Arial"/>
          <w:b/>
          <w:sz w:val="21"/>
        </w:rPr>
        <w:t xml:space="preserve">A prespecified IFN/ISG program dominates within-B_CONV transcription</w:t>
      </w:r>
    </w:p>
    <w:p>
      <w:pPr>
        <w:pStyle w:val="FirstParagraph"/>
      </w:pPr>
      <w:r>
        <w:rPr>
          <w:rFonts w:ascii="Arial" w:hAnsi="Arial" w:eastAsia="Arial"/>
          <w:sz w:val="21"/>
        </w:rPr>
        <w:t xml:space="preserve">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w:t>
      </w:r>
      <w:r>
        <w:rPr>
          <w:rFonts w:ascii="Arial" w:hAnsi="Arial" w:eastAsia="Arial"/>
          <w:sz w:val="21"/>
        </w:rPr>
        <w:t xml:space="preserve"> </w:t>
      </w:r>
      <w:r>
        <w:rPr>
          <w:rStyle w:val="VerbatimChar"/>
          <w:rFonts w:ascii="Arial" w:hAnsi="Arial" w:eastAsia="Arial"/>
          <w:sz w:val="21"/>
        </w:rPr>
        <w:t xml:space="preserve">filterByExpr</w:t>
      </w:r>
      <w:r>
        <w:rPr>
          <w:rFonts w:ascii="Arial" w:hAnsi="Arial" w:eastAsia="Arial"/>
          <w:sz w:val="21"/>
        </w:rPr>
        <w:t xml:space="preserve">, robust edgeR quasi-likelihood models and within-contrast Benjamini-Hochberg correction; the four prespecified programs were tested separately from TMM log-counts-per-million values with HC3 uncertainty.</w:t>
      </w:r>
    </w:p>
    <w:p>
      <w:pPr>
        <w:pStyle w:val="BodyText"/>
      </w:pPr>
      <w:r>
        <w:rPr>
          <w:rFonts w:ascii="Arial" w:hAnsi="Arial" w:eastAsia="Arial"/>
          <w:sz w:val="21"/>
        </w:rPr>
        <w:t xml:space="preserve">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pStyle w:val="BodyText"/>
      </w:pPr>
      <w:r>
        <w:rPr>
          <w:rFonts w:ascii="Arial" w:hAnsi="Arial" w:eastAsia="Arial"/>
          <w:sz w:val="21"/>
        </w:rPr>
        <w:t xml:space="preserve">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pStyle w:val="BodyText"/>
      </w:pPr>
      <w:r>
        <w:rPr>
          <w:rFonts w:ascii="Arial" w:hAnsi="Arial" w:eastAsia="Arial"/>
          <w:sz w:val="21"/>
        </w:rPr>
        <w:t xml:space="preserve">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bookmarkEnd w:id="47"/>
    <w:bookmarkStart w:id="48" w:name="X1e9910bd94065a52593360c0eeb00af0aa2a45e"/>
    <w:p>
      <w:pPr>
        <w:pStyle w:val="Heading3"/>
        <w:keepNext/>
      </w:pPr>
      <w:r>
        <w:rPr>
          <w:rFonts w:ascii="Arial" w:hAnsi="Arial" w:eastAsia="Arial"/>
          <w:b/>
          <w:sz w:val="21"/>
        </w:rPr>
        <w:t xml:space="preserve">Independent GSE135779 replicates the IFN program, not a transcriptome-wide state</w:t>
      </w:r>
    </w:p>
    <w:p>
      <w:pPr>
        <w:pStyle w:val="FirstParagraph"/>
      </w:pPr>
      <w:r>
        <w:rPr>
          <w:rFonts w:ascii="Arial" w:hAnsi="Arial" w:eastAsia="Arial"/>
          <w:sz w:val="21"/>
        </w:rPr>
        <w:t xml:space="preserve">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pStyle w:val="BodyText"/>
      </w:pPr>
      <w:r>
        <w:rPr>
          <w:rFonts w:ascii="Arial" w:hAnsi="Arial" w:eastAsia="Arial"/>
          <w:sz w:val="21"/>
        </w:rPr>
        <w:t xml:space="preserve">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Minimum-support sensitivities remained positive at 20 cells (effect 0.965; q=6.75 x 10^-7) and 100 cells (effect 0.939; q=4.06 x 10^-6).</w:t>
      </w:r>
    </w:p>
    <w:p>
      <w:pPr>
        <w:pStyle w:val="BodyText"/>
      </w:pPr>
      <w:r>
        <w:rPr>
          <w:rFonts w:ascii="Arial" w:hAnsi="Arial" w:eastAsia="Arial"/>
          <w:sz w:val="21"/>
        </w:rPr>
        <w:t xml:space="preserve">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pStyle w:val="BodyText"/>
      </w:pPr>
      <w:r>
        <w:rPr>
          <w:rFonts w:ascii="Arial" w:hAnsi="Arial" w:eastAsia="Arial"/>
          <w:sz w:val="21"/>
        </w:rPr>
        <w:t xml:space="preserve">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pStyle w:val="BodyText"/>
      </w:pPr>
      <w:r>
        <w:rPr>
          <w:rFonts w:ascii="Arial" w:hAnsi="Arial" w:eastAsia="Arial"/>
          <w:sz w:val="21"/>
        </w:rPr>
        <w:t xml:space="preserve">This agreement did not extend to the complete transcriptome. Among 4,410 shared tested genes, the cross-dataset effect correlation was only Spearman rho=0.026. The external evidence therefore supports replication of a prespecified IFN program, not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bookmarkEnd w:id="48"/>
    <w:bookmarkStart w:id="49" w:name="X67e380492778be048ea422098ace71f3187a65f"/>
    <w:p>
      <w:pPr>
        <w:pStyle w:val="Heading3"/>
        <w:keepNext/>
      </w:pPr>
      <w:r>
        <w:rPr>
          <w:rFonts w:ascii="Arial" w:hAnsi="Arial" w:eastAsia="Arial"/>
          <w:b/>
          <w:sz w:val="21"/>
        </w:rPr>
        <w:t xml:space="preserve">Corrected external remapping does not satisfy the prespecified calibration criterion</w:t>
      </w:r>
    </w:p>
    <w:p>
      <w:pPr>
        <w:pStyle w:val="FirstParagraph"/>
      </w:pPr>
      <w:r>
        <w:rPr>
          <w:rFonts w:ascii="Arial" w:hAnsi="Arial" w:eastAsia="Arial"/>
          <w:sz w:val="21"/>
        </w:rPr>
        <w:t xml:space="preserve">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bookmarkEnd w:id="49"/>
    <w:bookmarkStart w:id="50" w:name="X05b27749eef94bb7231eff189581c6b11e3430b"/>
    <w:p>
      <w:pPr>
        <w:pStyle w:val="Heading3"/>
        <w:keepNext/>
      </w:pPr>
      <w:r>
        <w:rPr>
          <w:rFonts w:ascii="Arial" w:hAnsi="Arial" w:eastAsia="Arial"/>
          <w:b/>
          <w:sz w:val="21"/>
        </w:rPr>
        <w:t xml:space="preserve">Regulatory and response evidence converges on, but does not establish, IFN-centred control</w:t>
      </w:r>
    </w:p>
    <w:p>
      <w:pPr>
        <w:pStyle w:val="FirstParagraph"/>
      </w:pPr>
      <w:r>
        <w:rPr>
          <w:rFonts w:ascii="Arial" w:hAnsi="Arial" w:eastAsia="Arial"/>
          <w:sz w:val="21"/>
        </w:rPr>
        <w:t xml:space="preserve">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pStyle w:val="BodyText"/>
      </w:pPr>
      <w:r>
        <w:rPr>
          <w:rFonts w:ascii="Arial" w:hAnsi="Arial" w:eastAsia="Arial"/>
          <w:sz w:val="21"/>
        </w:rPr>
        <w:t xml:space="preserve">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pStyle w:val="BodyText"/>
      </w:pPr>
      <w:r>
        <w:rPr>
          <w:rFonts w:ascii="Arial" w:hAnsi="Arial" w:eastAsia="Arial"/>
          <w:sz w:val="21"/>
        </w:rPr>
        <w:t xml:space="preserve">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pStyle w:val="BodyText"/>
      </w:pPr>
      <w:r>
        <w:rPr>
          <w:rFonts w:ascii="Arial" w:hAnsi="Arial" w:eastAsia="Arial"/>
          <w:sz w:val="21"/>
        </w:rPr>
        <w:t xml:space="preserve">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pStyle w:val="BodyText"/>
      </w:pPr>
      <w:r>
        <w:rPr>
          <w:rFonts w:ascii="Arial" w:hAnsi="Arial" w:eastAsia="Arial"/>
          <w:sz w:val="21"/>
        </w:rPr>
        <w:t xml:space="preserve">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pStyle w:val="BodyText"/>
      </w:pPr>
      <w:r>
        <w:rPr>
          <w:rFonts w:ascii="Arial" w:hAnsi="Arial" w:eastAsia="Arial"/>
          <w:sz w:val="21"/>
        </w:rPr>
        <w:t xml:space="preserve">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bookmarkEnd w:id="50"/>
    <w:bookmarkEnd w:id="51"/>
    <w:bookmarkStart w:id="52" w:name="discussion"/>
    <w:p>
      <w:pPr>
        <w:pStyle w:val="Heading2"/>
        <w:keepNext/>
      </w:pPr>
      <w:r>
        <w:rPr>
          <w:rFonts w:ascii="Arial" w:hAnsi="Arial" w:eastAsia="Arial"/>
          <w:b/>
          <w:sz w:val="24"/>
        </w:rPr>
        <w:t xml:space="preserve">Discussion</w:t>
      </w:r>
    </w:p>
    <w:p>
      <w:pPr>
        <w:pStyle w:val="FirstParagraph"/>
      </w:pPr>
      <w:r>
        <w:rPr>
          <w:rFonts w:ascii="Arial" w:hAnsi="Arial" w:eastAsia="Arial"/>
          <w:sz w:val="21"/>
        </w:rPr>
        <w:t xml:space="preserve">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result that survives the full inferential sequence is therefore process-level interferon remodeling rather than a disease-defining cell-state label or generalized B_ASC expansion.</w:t>
      </w:r>
    </w:p>
    <w:p>
      <w:pPr>
        <w:pStyle w:val="BodyText"/>
      </w:pPr>
      <w:r>
        <w:rPr>
          <w:rFonts w:ascii="Arial" w:hAnsi="Arial" w:eastAsia="Arial"/>
          <w:sz w:val="21"/>
        </w:rPr>
        <w:t xml:space="preserve">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pStyle w:val="BodyText"/>
      </w:pPr>
      <w:r>
        <w:rPr>
          <w:rFonts w:ascii="Arial" w:hAnsi="Arial" w:eastAsia="Arial"/>
          <w:sz w:val="21"/>
        </w:rPr>
        <w:t xml:space="preserve">The independent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and reject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pStyle w:val="BodyText"/>
      </w:pPr>
      <w:r>
        <w:rPr>
          <w:rFonts w:ascii="Arial" w:hAnsi="Arial" w:eastAsia="Arial"/>
          <w:sz w:val="21"/>
        </w:rPr>
        <w:t xml:space="preserve">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pStyle w:val="BodyText"/>
      </w:pPr>
      <w:r>
        <w:rPr>
          <w:rFonts w:ascii="Arial" w:hAnsi="Arial" w:eastAsia="Arial"/>
          <w:sz w:val="21"/>
        </w:rPr>
        <w:t xml:space="preserve">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one program that survives the full validation hierarchy.</w:t>
      </w:r>
    </w:p>
    <w:p>
      <w:pPr>
        <w:pStyle w:val="BodyText"/>
      </w:pPr>
      <w:r>
        <w:rPr>
          <w:rFonts w:ascii="Arial" w:hAnsi="Arial" w:eastAsia="Arial"/>
          <w:sz w:val="21"/>
        </w:rPr>
        <w:t xml:space="preserve">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pStyle w:val="BodyText"/>
      </w:pPr>
      <w:r>
        <w:rPr>
          <w:rFonts w:ascii="Arial" w:hAnsi="Arial" w:eastAsia="Arial"/>
          <w:sz w:val="21"/>
        </w:rPr>
        <w:t xml:space="preserve">Several limitations define the remaining evidence gap. Public metadata did not provide a common set of sex, treatment and detailed clinical covariates across all contrasts. End-to-end resampling failed the B_ASC overlap criterion, and propagation of observed assignment exchanges remains a same-data sensitivity rather than proof of taxonomy transfer. The adult external stratum was small, two adult metadata donors lacked corresponding source matrices, and the GSE174188 internal validation remains accession-internal despite removal of donor overlap. External replication relies on source labels to define a broad conventional-B analog; after correcting a normalization mismatch, the source-label-independent remapping sensitivity failed its B_ASC reference-calibration criterion and therefore did not estimate a corrected disease effect. CollecTRI results depend on curated prior knowledge and gene coverage, correlation-aware and overlap-depletion analyses reuse the same disease contrasts, and discovery STAT2 remains the explicit CAMERA exception. The GSE23307 perturbation comprises only two healthy donors. These constraints leave direct binding, matched patient perturbation, prospective clinical validation and transferable state taxonomy unresolved.</w:t>
      </w:r>
    </w:p>
    <w:p>
      <w:pPr>
        <w:pStyle w:val="BodyText"/>
      </w:pPr>
      <w:r>
        <w:rPr>
          <w:rFonts w:ascii="Arial" w:hAnsi="Arial" w:eastAsia="Arial"/>
          <w:sz w:val="21"/>
        </w:rPr>
        <w:t xml:space="preserve">Taken together, the study supports a restrained model of SLE B-cell remodeling: hard state assignments are less reproducible than a coherent within-compartment interferon program. By treating failed stability and calibration criteria as evidence boundaries rather than results to be tuned away, the analysis isolates a process-level signal that is replicated across datasets while keeping mechanistic and clinical claims within the limits of the available data.</w:t>
      </w:r>
    </w:p>
    <w:bookmarkEnd w:id="52"/>
    <w:bookmarkStart w:id="53" w:name="conclusions"/>
    <w:p>
      <w:pPr>
        <w:pStyle w:val="Heading2"/>
        <w:keepNext/>
      </w:pPr>
      <w:r>
        <w:rPr>
          <w:rFonts w:ascii="Arial" w:hAnsi="Arial" w:eastAsia="Arial"/>
          <w:b/>
          <w:sz w:val="24"/>
        </w:rPr>
        <w:t xml:space="preserve">Conclusions</w:t>
      </w:r>
    </w:p>
    <w:p>
      <w:pPr>
        <w:pStyle w:val="FirstParagraph"/>
      </w:pPr>
      <w:r>
        <w:rPr>
          <w:rFonts w:ascii="Arial" w:hAnsi="Arial" w:eastAsia="Arial"/>
          <w:sz w:val="21"/>
        </w:rPr>
        <w:t xml:space="preserve">SLE is associated with a reproducible IFN/ISG transcriptional shift within a disease-blind conventional-B analysis scaffold, whereas hard B-cell state assignments show explicit reproducibility limits. Independent cohort validation, identity-uncertainty propagation and qualified regulatory and response analyses support this process-level interpretation without establishing a universal taxonomy, generalized B_ASC expansion, causal regulator or unique upstream stimulus. The principal advance is therefore inferential as well as biological: the remodeling layer that remains reproducible is a continuous interferon program rather than a fixed disease-defined cell state.</w:t>
      </w:r>
    </w:p>
    <w:bookmarkEnd w:id="53"/>
    <w:bookmarkStart w:id="54" w:name="list-of-abbreviations"/>
    <w:p>
      <w:pPr>
        <w:pStyle w:val="Heading2"/>
        <w:keepNext/>
      </w:pPr>
      <w:r>
        <w:rPr>
          <w:rFonts w:ascii="Arial" w:hAnsi="Arial" w:eastAsia="Arial"/>
          <w:b/>
          <w:sz w:val="24"/>
        </w:rPr>
        <w:t xml:space="preserve">List of abbreviations</w:t>
      </w:r>
    </w:p>
    <w:p>
      <w:pPr>
        <w:pStyle w:val="FirstParagraph"/>
      </w:pPr>
      <w:r>
        <w:rPr>
          <w:rFonts w:ascii="Arial" w:hAnsi="Arial" w:eastAsia="Arial"/>
          <w:b/>
          <w:bCs/>
          <w:sz w:val="21"/>
        </w:rPr>
        <w:t xml:space="preserve">ASC:</w:t>
      </w:r>
      <w:r>
        <w:rPr>
          <w:rFonts w:ascii="Arial" w:hAnsi="Arial" w:eastAsia="Arial"/>
          <w:sz w:val="21"/>
        </w:rPr>
        <w:t xml:space="preserve"> </w:t>
      </w:r>
      <w:r>
        <w:rPr>
          <w:rFonts w:ascii="Arial" w:hAnsi="Arial" w:eastAsia="Arial"/>
          <w:sz w:val="21"/>
        </w:rPr>
        <w:t xml:space="preserve">antibody-secreting cell;</w:t>
      </w:r>
      <w:r>
        <w:rPr>
          <w:rFonts w:ascii="Arial" w:hAnsi="Arial" w:eastAsia="Arial"/>
          <w:sz w:val="21"/>
        </w:rPr>
        <w:t xml:space="preserve"> </w:t>
      </w:r>
      <w:r>
        <w:rPr>
          <w:rFonts w:ascii="Arial" w:hAnsi="Arial" w:eastAsia="Arial"/>
          <w:b/>
          <w:bCs/>
          <w:sz w:val="21"/>
        </w:rPr>
        <w:t xml:space="preserve">CAMERA:</w:t>
      </w:r>
      <w:r>
        <w:rPr>
          <w:rFonts w:ascii="Arial" w:hAnsi="Arial" w:eastAsia="Arial"/>
          <w:sz w:val="21"/>
        </w:rPr>
        <w:t xml:space="preserve"> </w:t>
      </w:r>
      <w:r>
        <w:rPr>
          <w:rFonts w:ascii="Arial" w:hAnsi="Arial" w:eastAsia="Arial"/>
          <w:sz w:val="21"/>
        </w:rPr>
        <w:t xml:space="preserve">correlation-adjusted mean-rank gene-set test;</w:t>
      </w:r>
      <w:r>
        <w:rPr>
          <w:rFonts w:ascii="Arial" w:hAnsi="Arial" w:eastAsia="Arial"/>
          <w:sz w:val="21"/>
        </w:rPr>
        <w:t xml:space="preserve"> </w:t>
      </w:r>
      <w:r>
        <w:rPr>
          <w:rFonts w:ascii="Arial" w:hAnsi="Arial" w:eastAsia="Arial"/>
          <w:b/>
          <w:bCs/>
          <w:sz w:val="21"/>
        </w:rPr>
        <w:t xml:space="preserve">B_ASC:</w:t>
      </w:r>
      <w:r>
        <w:rPr>
          <w:rFonts w:ascii="Arial" w:hAnsi="Arial" w:eastAsia="Arial"/>
          <w:sz w:val="21"/>
        </w:rPr>
        <w:t xml:space="preserve"> </w:t>
      </w:r>
      <w:r>
        <w:rPr>
          <w:rFonts w:ascii="Arial" w:hAnsi="Arial" w:eastAsia="Arial"/>
          <w:sz w:val="21"/>
        </w:rPr>
        <w:t xml:space="preserve">disease-blind antibody-secreting-cell compartment;</w:t>
      </w:r>
      <w:r>
        <w:rPr>
          <w:rFonts w:ascii="Arial" w:hAnsi="Arial" w:eastAsia="Arial"/>
          <w:sz w:val="21"/>
        </w:rPr>
        <w:t xml:space="preserve"> </w:t>
      </w:r>
      <w:r>
        <w:rPr>
          <w:rFonts w:ascii="Arial" w:hAnsi="Arial" w:eastAsia="Arial"/>
          <w:b/>
          <w:bCs/>
          <w:sz w:val="21"/>
        </w:rPr>
        <w:t xml:space="preserve">B_CONV:</w:t>
      </w:r>
      <w:r>
        <w:rPr>
          <w:rFonts w:ascii="Arial" w:hAnsi="Arial" w:eastAsia="Arial"/>
          <w:sz w:val="21"/>
        </w:rPr>
        <w:t xml:space="preserve"> </w:t>
      </w:r>
      <w:r>
        <w:rPr>
          <w:rFonts w:ascii="Arial" w:hAnsi="Arial" w:eastAsia="Arial"/>
          <w:sz w:val="21"/>
        </w:rPr>
        <w:t xml:space="preserve">disease-blind broad conventional-B compartment;</w:t>
      </w:r>
      <w:r>
        <w:rPr>
          <w:rFonts w:ascii="Arial" w:hAnsi="Arial" w:eastAsia="Arial"/>
          <w:sz w:val="21"/>
        </w:rPr>
        <w:t xml:space="preserve"> </w:t>
      </w:r>
      <w:r>
        <w:rPr>
          <w:rFonts w:ascii="Arial" w:hAnsi="Arial" w:eastAsia="Arial"/>
          <w:b/>
          <w:bCs/>
          <w:sz w:val="21"/>
        </w:rPr>
        <w:t xml:space="preserve">FDR:</w:t>
      </w:r>
      <w:r>
        <w:rPr>
          <w:rFonts w:ascii="Arial" w:hAnsi="Arial" w:eastAsia="Arial"/>
          <w:sz w:val="21"/>
        </w:rPr>
        <w:t xml:space="preserve"> </w:t>
      </w:r>
      <w:r>
        <w:rPr>
          <w:rFonts w:ascii="Arial" w:hAnsi="Arial" w:eastAsia="Arial"/>
          <w:sz w:val="21"/>
        </w:rPr>
        <w:t xml:space="preserve">false discovery rate;</w:t>
      </w:r>
      <w:r>
        <w:rPr>
          <w:rFonts w:ascii="Arial" w:hAnsi="Arial" w:eastAsia="Arial"/>
          <w:sz w:val="21"/>
        </w:rPr>
        <w:t xml:space="preserve"> </w:t>
      </w:r>
      <w:r>
        <w:rPr>
          <w:rFonts w:ascii="Arial" w:hAnsi="Arial" w:eastAsia="Arial"/>
          <w:b/>
          <w:bCs/>
          <w:sz w:val="21"/>
        </w:rPr>
        <w:t xml:space="preserve">FRY:</w:t>
      </w:r>
      <w:r>
        <w:rPr>
          <w:rFonts w:ascii="Arial" w:hAnsi="Arial" w:eastAsia="Arial"/>
          <w:sz w:val="21"/>
        </w:rPr>
        <w:t xml:space="preserve"> </w:t>
      </w:r>
      <w:r>
        <w:rPr>
          <w:rFonts w:ascii="Arial" w:hAnsi="Arial" w:eastAsia="Arial"/>
          <w:sz w:val="21"/>
        </w:rPr>
        <w:t xml:space="preserve">fast rotation gene-set test;</w:t>
      </w:r>
      <w:r>
        <w:rPr>
          <w:rFonts w:ascii="Arial" w:hAnsi="Arial" w:eastAsia="Arial"/>
          <w:sz w:val="21"/>
        </w:rPr>
        <w:t xml:space="preserve"> </w:t>
      </w:r>
      <w:r>
        <w:rPr>
          <w:rFonts w:ascii="Arial" w:hAnsi="Arial" w:eastAsia="Arial"/>
          <w:b/>
          <w:bCs/>
          <w:sz w:val="21"/>
        </w:rPr>
        <w:t xml:space="preserve">GEO:</w:t>
      </w:r>
      <w:r>
        <w:rPr>
          <w:rFonts w:ascii="Arial" w:hAnsi="Arial" w:eastAsia="Arial"/>
          <w:sz w:val="21"/>
        </w:rPr>
        <w:t xml:space="preserve"> </w:t>
      </w:r>
      <w:r>
        <w:rPr>
          <w:rFonts w:ascii="Arial" w:hAnsi="Arial" w:eastAsia="Arial"/>
          <w:sz w:val="21"/>
        </w:rPr>
        <w:t xml:space="preserve">Gene Expression Omnibus;</w:t>
      </w:r>
      <w:r>
        <w:rPr>
          <w:rFonts w:ascii="Arial" w:hAnsi="Arial" w:eastAsia="Arial"/>
          <w:sz w:val="21"/>
        </w:rPr>
        <w:t xml:space="preserve"> </w:t>
      </w:r>
      <w:r>
        <w:rPr>
          <w:rFonts w:ascii="Arial" w:hAnsi="Arial" w:eastAsia="Arial"/>
          <w:b/>
          <w:bCs/>
          <w:sz w:val="21"/>
        </w:rPr>
        <w:t xml:space="preserve">HC1/HC3:</w:t>
      </w:r>
      <w:r>
        <w:rPr>
          <w:rFonts w:ascii="Arial" w:hAnsi="Arial" w:eastAsia="Arial"/>
          <w:sz w:val="21"/>
        </w:rPr>
        <w:t xml:space="preserve"> </w:t>
      </w:r>
      <w:r>
        <w:rPr>
          <w:rFonts w:ascii="Arial" w:hAnsi="Arial" w:eastAsia="Arial"/>
          <w:sz w:val="21"/>
        </w:rPr>
        <w:t xml:space="preserve">heteroskedasticity-consistent covariance estimators;</w:t>
      </w:r>
      <w:r>
        <w:rPr>
          <w:rFonts w:ascii="Arial" w:hAnsi="Arial" w:eastAsia="Arial"/>
          <w:sz w:val="21"/>
        </w:rPr>
        <w:t xml:space="preserve"> </w:t>
      </w:r>
      <w:r>
        <w:rPr>
          <w:rFonts w:ascii="Arial" w:hAnsi="Arial" w:eastAsia="Arial"/>
          <w:b/>
          <w:bCs/>
          <w:sz w:val="21"/>
        </w:rPr>
        <w:t xml:space="preserve">IFN:</w:t>
      </w:r>
      <w:r>
        <w:rPr>
          <w:rFonts w:ascii="Arial" w:hAnsi="Arial" w:eastAsia="Arial"/>
          <w:sz w:val="21"/>
        </w:rPr>
        <w:t xml:space="preserve"> </w:t>
      </w:r>
      <w:r>
        <w:rPr>
          <w:rFonts w:ascii="Arial" w:hAnsi="Arial" w:eastAsia="Arial"/>
          <w:sz w:val="21"/>
        </w:rPr>
        <w:t xml:space="preserve">interferon;</w:t>
      </w:r>
      <w:r>
        <w:rPr>
          <w:rFonts w:ascii="Arial" w:hAnsi="Arial" w:eastAsia="Arial"/>
          <w:sz w:val="21"/>
        </w:rPr>
        <w:t xml:space="preserve"> </w:t>
      </w:r>
      <w:r>
        <w:rPr>
          <w:rFonts w:ascii="Arial" w:hAnsi="Arial" w:eastAsia="Arial"/>
          <w:b/>
          <w:bCs/>
          <w:sz w:val="21"/>
        </w:rPr>
        <w:t xml:space="preserve">ISG:</w:t>
      </w:r>
      <w:r>
        <w:rPr>
          <w:rFonts w:ascii="Arial" w:hAnsi="Arial" w:eastAsia="Arial"/>
          <w:sz w:val="21"/>
        </w:rPr>
        <w:t xml:space="preserve"> </w:t>
      </w:r>
      <w:r>
        <w:rPr>
          <w:rFonts w:ascii="Arial" w:hAnsi="Arial" w:eastAsia="Arial"/>
          <w:sz w:val="21"/>
        </w:rPr>
        <w:t xml:space="preserve">interferon-stimulated gene;</w:t>
      </w:r>
      <w:r>
        <w:rPr>
          <w:rFonts w:ascii="Arial" w:hAnsi="Arial" w:eastAsia="Arial"/>
          <w:sz w:val="21"/>
        </w:rPr>
        <w:t xml:space="preserve"> </w:t>
      </w:r>
      <w:r>
        <w:rPr>
          <w:rFonts w:ascii="Arial" w:hAnsi="Arial" w:eastAsia="Arial"/>
          <w:b/>
          <w:bCs/>
          <w:sz w:val="21"/>
        </w:rPr>
        <w:t xml:space="preserve">NES:</w:t>
      </w:r>
      <w:r>
        <w:rPr>
          <w:rFonts w:ascii="Arial" w:hAnsi="Arial" w:eastAsia="Arial"/>
          <w:sz w:val="21"/>
        </w:rPr>
        <w:t xml:space="preserve"> </w:t>
      </w:r>
      <w:r>
        <w:rPr>
          <w:rFonts w:ascii="Arial" w:hAnsi="Arial" w:eastAsia="Arial"/>
          <w:sz w:val="21"/>
        </w:rPr>
        <w:t xml:space="preserve">normalized enrichment score;</w:t>
      </w:r>
      <w:r>
        <w:rPr>
          <w:rFonts w:ascii="Arial" w:hAnsi="Arial" w:eastAsia="Arial"/>
          <w:sz w:val="21"/>
        </w:rPr>
        <w:t xml:space="preserve"> </w:t>
      </w:r>
      <w:r>
        <w:rPr>
          <w:rFonts w:ascii="Arial" w:hAnsi="Arial" w:eastAsia="Arial"/>
          <w:b/>
          <w:bCs/>
          <w:sz w:val="21"/>
        </w:rPr>
        <w:t xml:space="preserve">SLE:</w:t>
      </w:r>
      <w:r>
        <w:rPr>
          <w:rFonts w:ascii="Arial" w:hAnsi="Arial" w:eastAsia="Arial"/>
          <w:sz w:val="21"/>
        </w:rPr>
        <w:t xml:space="preserve"> </w:t>
      </w:r>
      <w:r>
        <w:rPr>
          <w:rFonts w:ascii="Arial" w:hAnsi="Arial" w:eastAsia="Arial"/>
          <w:sz w:val="21"/>
        </w:rPr>
        <w:t xml:space="preserve">systemic lupus erythematosus;</w:t>
      </w:r>
      <w:r>
        <w:rPr>
          <w:rFonts w:ascii="Arial" w:hAnsi="Arial" w:eastAsia="Arial"/>
          <w:sz w:val="21"/>
        </w:rPr>
        <w:t xml:space="preserve"> </w:t>
      </w:r>
      <w:r>
        <w:rPr>
          <w:rFonts w:ascii="Arial" w:hAnsi="Arial" w:eastAsia="Arial"/>
          <w:b/>
          <w:bCs/>
          <w:sz w:val="21"/>
        </w:rPr>
        <w:t xml:space="preserve">TF:</w:t>
      </w:r>
      <w:r>
        <w:rPr>
          <w:rFonts w:ascii="Arial" w:hAnsi="Arial" w:eastAsia="Arial"/>
          <w:sz w:val="21"/>
        </w:rPr>
        <w:t xml:space="preserve"> </w:t>
      </w:r>
      <w:r>
        <w:rPr>
          <w:rFonts w:ascii="Arial" w:hAnsi="Arial" w:eastAsia="Arial"/>
          <w:sz w:val="21"/>
        </w:rPr>
        <w:t xml:space="preserve">transcription factor;</w:t>
      </w:r>
      <w:r>
        <w:rPr>
          <w:rFonts w:ascii="Arial" w:hAnsi="Arial" w:eastAsia="Arial"/>
          <w:sz w:val="21"/>
        </w:rPr>
        <w:t xml:space="preserve"> </w:t>
      </w:r>
      <w:r>
        <w:rPr>
          <w:rFonts w:ascii="Arial" w:hAnsi="Arial" w:eastAsia="Arial"/>
          <w:b/>
          <w:bCs/>
          <w:sz w:val="21"/>
        </w:rPr>
        <w:t xml:space="preserve">TMM:</w:t>
      </w:r>
      <w:r>
        <w:rPr>
          <w:rFonts w:ascii="Arial" w:hAnsi="Arial" w:eastAsia="Arial"/>
          <w:sz w:val="21"/>
        </w:rPr>
        <w:t xml:space="preserve"> </w:t>
      </w:r>
      <w:r>
        <w:rPr>
          <w:rFonts w:ascii="Arial" w:hAnsi="Arial" w:eastAsia="Arial"/>
          <w:sz w:val="21"/>
        </w:rPr>
        <w:t xml:space="preserve">trimmed mean of M values;</w:t>
      </w:r>
      <w:r>
        <w:rPr>
          <w:rFonts w:ascii="Arial" w:hAnsi="Arial" w:eastAsia="Arial"/>
          <w:sz w:val="21"/>
        </w:rPr>
        <w:t xml:space="preserve"> </w:t>
      </w:r>
      <w:r>
        <w:rPr>
          <w:rFonts w:ascii="Arial" w:hAnsi="Arial" w:eastAsia="Arial"/>
          <w:b/>
          <w:bCs/>
          <w:sz w:val="21"/>
        </w:rPr>
        <w:t xml:space="preserve">UMI:</w:t>
      </w:r>
      <w:r>
        <w:rPr>
          <w:rFonts w:ascii="Arial" w:hAnsi="Arial" w:eastAsia="Arial"/>
          <w:sz w:val="21"/>
        </w:rPr>
        <w:t xml:space="preserve"> </w:t>
      </w:r>
      <w:r>
        <w:rPr>
          <w:rFonts w:ascii="Arial" w:hAnsi="Arial" w:eastAsia="Arial"/>
          <w:sz w:val="21"/>
        </w:rPr>
        <w:t xml:space="preserve">unique molecular identifier.</w:t>
      </w:r>
    </w:p>
    <w:bookmarkEnd w:id="54"/>
    <w:bookmarkStart w:id="64" w:name="declarations"/>
    <w:p>
      <w:pPr>
        <w:pStyle w:val="Heading2"/>
        <w:keepNext/>
      </w:pPr>
      <w:r>
        <w:rPr>
          <w:rFonts w:ascii="Arial" w:hAnsi="Arial" w:eastAsia="Arial"/>
          <w:b/>
          <w:sz w:val="24"/>
        </w:rPr>
        <w:t xml:space="preserve">Declarations</w:t>
      </w:r>
    </w:p>
    <w:bookmarkStart w:id="55" w:name="Xd182db0490b2de20bd2b4e4cc8698599182035f"/>
    <w:p>
      <w:pPr>
        <w:pStyle w:val="Heading3"/>
        <w:keepNext/>
      </w:pPr>
      <w:r>
        <w:rPr>
          <w:rFonts w:ascii="Arial" w:hAnsi="Arial" w:eastAsia="Arial"/>
          <w:b/>
          <w:sz w:val="21"/>
        </w:rPr>
        <w:t xml:space="preserve">Ethics approval and consent to participate</w:t>
      </w:r>
    </w:p>
    <w:p>
      <w:pPr>
        <w:pStyle w:val="FirstParagraph"/>
      </w:pPr>
      <w:r>
        <w:rPr>
          <w:rFonts w:ascii="Arial" w:hAnsi="Arial" w:eastAsia="Arial"/>
          <w:sz w:val="21"/>
        </w:rPr>
        <w:t xml:space="preserve">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w:t>
      </w:r>
    </w:p>
    <w:bookmarkEnd w:id="55"/>
    <w:bookmarkStart w:id="56" w:name="consent-for-publication"/>
    <w:p>
      <w:pPr>
        <w:pStyle w:val="Heading3"/>
        <w:keepNext/>
      </w:pPr>
      <w:r>
        <w:rPr>
          <w:rFonts w:ascii="Arial" w:hAnsi="Arial" w:eastAsia="Arial"/>
          <w:b/>
          <w:sz w:val="21"/>
        </w:rPr>
        <w:t xml:space="preserve">Consent for publication</w:t>
      </w:r>
    </w:p>
    <w:p>
      <w:pPr>
        <w:pStyle w:val="FirstParagraph"/>
      </w:pPr>
      <w:r>
        <w:rPr>
          <w:rFonts w:ascii="Arial" w:hAnsi="Arial" w:eastAsia="Arial"/>
          <w:sz w:val="21"/>
        </w:rPr>
        <w:t xml:space="preserve">Not applicable; the manuscript contains no identifiable individual participant information.</w:t>
      </w:r>
    </w:p>
    <w:bookmarkEnd w:id="56"/>
    <w:bookmarkStart w:id="58" w:name="availability-of-data-and-materials"/>
    <w:p>
      <w:pPr>
        <w:pStyle w:val="Heading3"/>
        <w:keepNext/>
      </w:pPr>
      <w:r>
        <w:rPr>
          <w:rFonts w:ascii="Arial" w:hAnsi="Arial" w:eastAsia="Arial"/>
          <w:b/>
          <w:sz w:val="21"/>
        </w:rPr>
        <w:t xml:space="preserve">Availability of data and materials</w:t>
      </w:r>
    </w:p>
    <w:p>
      <w:pPr>
        <w:pStyle w:val="FirstParagraph"/>
      </w:pPr>
      <w:r>
        <w:rPr>
          <w:rFonts w:ascii="Arial" w:hAnsi="Arial" w:eastAsia="Arial"/>
          <w:sz w:val="21"/>
        </w:rPr>
        <w:t xml:space="preserve">The datasets analysed are publicly available through NCBI GEO under GSE174188, GSE135779 and GSE23307 [17,18,20]. The project repository is</w:t>
      </w:r>
      <w:r>
        <w:rPr>
          <w:rFonts w:ascii="Arial" w:hAnsi="Arial" w:eastAsia="Arial"/>
          <w:sz w:val="21"/>
        </w:rPr>
        <w:t xml:space="preserve"> </w:t>
      </w:r>
      <w:hyperlink r:id="rId57">
        <w:r>
          <w:rPr>
            <w:rStyle w:val="Hyperlink"/>
          </w:rPr>
          <w:t xml:space="preserve">https://github.com/1209433622cz-maker/sle-bcell-remodeling</w:t>
        </w:r>
      </w:hyperlink>
      <w:r>
        <w:rPr>
          <w:rFonts w:ascii="Arial" w:hAnsi="Arial" w:eastAsia="Arial"/>
          <w:sz w:val="21"/>
        </w:rPr>
        <w:t xml:space="preserve">; an initial immutable snapshot is archived at doi:10.5281/zenodo.22086892 [32]. That snapshot predates the end-to-end reconstruction and corrected external-mapping audits. A matching version-specific archive of the revised code, decisions, source data and SHA-256 records is required before submission. Original project code is licensed under the MIT License; original manuscript text, composite figures, project documentation and project-generated derived source-data tables are licensed under CC BY 4.0. These licences do not relicense GEO, CELLxGENE or other third-party source material. Large recomputable matrices are not duplicated from their source repositories.</w:t>
      </w:r>
    </w:p>
    <w:bookmarkEnd w:id="58"/>
    <w:bookmarkStart w:id="59" w:name="competing-interests"/>
    <w:p>
      <w:pPr>
        <w:pStyle w:val="Heading3"/>
        <w:keepNext/>
      </w:pPr>
      <w:r>
        <w:rPr>
          <w:rFonts w:ascii="Arial" w:hAnsi="Arial" w:eastAsia="Arial"/>
          <w:b/>
          <w:sz w:val="21"/>
        </w:rPr>
        <w:t xml:space="preserve">Competing interests</w:t>
      </w:r>
    </w:p>
    <w:p>
      <w:pPr>
        <w:pStyle w:val="FirstParagraph"/>
      </w:pPr>
      <w:r>
        <w:rPr>
          <w:rFonts w:ascii="Arial" w:hAnsi="Arial" w:eastAsia="Arial"/>
          <w:sz w:val="21"/>
        </w:rPr>
        <w:t xml:space="preserve">The authors declare that they have no competing interests.</w:t>
      </w:r>
    </w:p>
    <w:bookmarkEnd w:id="59"/>
    <w:bookmarkStart w:id="60" w:name="funding"/>
    <w:p>
      <w:pPr>
        <w:pStyle w:val="Heading3"/>
        <w:keepNext/>
      </w:pPr>
      <w:r>
        <w:rPr>
          <w:rFonts w:ascii="Arial" w:hAnsi="Arial" w:eastAsia="Arial"/>
          <w:b/>
          <w:sz w:val="21"/>
        </w:rPr>
        <w:t xml:space="preserve">Funding</w:t>
      </w:r>
    </w:p>
    <w:p>
      <w:pPr>
        <w:pStyle w:val="FirstParagraph"/>
      </w:pPr>
      <w:r>
        <w:rPr>
          <w:rFonts w:ascii="Arial" w:hAnsi="Arial" w:eastAsia="Arial"/>
          <w:sz w:val="21"/>
        </w:rPr>
        <w:t xml:space="preserve">This research received no specific funding.</w:t>
      </w:r>
    </w:p>
    <w:bookmarkEnd w:id="60"/>
    <w:bookmarkStart w:id="61" w:name="authors-contributions"/>
    <w:p>
      <w:pPr>
        <w:pStyle w:val="Heading3"/>
        <w:keepNext/>
      </w:pPr>
      <w:r>
        <w:rPr>
          <w:rFonts w:ascii="Arial" w:hAnsi="Arial" w:eastAsia="Arial"/>
          <w:b/>
          <w:sz w:val="21"/>
        </w:rPr>
        <w:t xml:space="preserve">Authors' contributions</w:t>
      </w:r>
    </w:p>
    <w:p>
      <w:pPr>
        <w:pStyle w:val="FirstParagraph"/>
      </w:pPr>
      <w:r>
        <w:rPr>
          <w:rFonts w:ascii="Arial" w:hAnsi="Arial" w:eastAsia="Arial"/>
          <w:sz w:val="21"/>
        </w:rPr>
        <w:t xml:space="preserve">ZC: Conceptualization, Data curation, Formal analysis, Investigation, Methodology, Software, Visualization, Writing - original draft. TQ: Conceptualization, Methodology, Project administration, Validation, Writing - review and editing. Both authors approved the preceding reviewed snapshot. Final approval of this corrected candidate is pending.</w:t>
      </w:r>
    </w:p>
    <w:bookmarkEnd w:id="61"/>
    <w:bookmarkStart w:id="62" w:name="acknowledgements"/>
    <w:p>
      <w:pPr>
        <w:pStyle w:val="Heading3"/>
        <w:keepNext/>
      </w:pPr>
      <w:r>
        <w:rPr>
          <w:rFonts w:ascii="Arial" w:hAnsi="Arial" w:eastAsia="Arial"/>
          <w:b/>
          <w:sz w:val="21"/>
        </w:rPr>
        <w:t xml:space="preserve">Acknowledgements</w:t>
      </w:r>
    </w:p>
    <w:p>
      <w:pPr>
        <w:pStyle w:val="FirstParagraph"/>
      </w:pPr>
      <w:r>
        <w:rPr>
          <w:rFonts w:ascii="Arial" w:hAnsi="Arial" w:eastAsia="Arial"/>
          <w:sz w:val="21"/>
        </w:rPr>
        <w:t xml:space="preserve">Not applicable.</w:t>
      </w:r>
    </w:p>
    <w:bookmarkEnd w:id="62"/>
    <w:bookmarkStart w:id="63" w:name="X662c2d66dd1eda3268d2087202c966cd73b2601"/>
    <w:p>
      <w:pPr>
        <w:pStyle w:val="Heading3"/>
        <w:keepNext/>
      </w:pPr>
      <w:r>
        <w:rPr>
          <w:rFonts w:ascii="Arial" w:hAnsi="Arial" w:eastAsia="Arial"/>
          <w:b/>
          <w:sz w:val="21"/>
        </w:rPr>
        <w:t xml:space="preserve">Use of generative artificial intelligence</w:t>
      </w:r>
    </w:p>
    <w:p>
      <w:pPr>
        <w:pStyle w:val="FirstParagraph"/>
      </w:pPr>
      <w:r>
        <w:rPr>
          <w:rFonts w:ascii="Arial" w:hAnsi="Arial" w:eastAsia="Arial"/>
          <w:sz w:val="21"/>
        </w:rPr>
        <w:t xml:space="preserve">Generative artificial intelligence tools, including OpenAI Codex and ChatGPT, were used to assist with code development, reproducibility checks, language editing and preparation of submission materials. The authors are responsible for verifying the revised analyses, code, text, references, figures and source data before submission and retain full responsibility for the work. Generative artificial intelligence was not used to create or alter primary research data.</w:t>
      </w:r>
    </w:p>
    <w:bookmarkEnd w:id="63"/>
    <w:bookmarkEnd w:id="64"/>
    <w:bookmarkStart w:id="65" w:name="additional-files"/>
    <w:p>
      <w:pPr>
        <w:pStyle w:val="Heading2"/>
        <w:keepNext/>
      </w:pPr>
      <w:r>
        <w:rPr>
          <w:rFonts w:ascii="Arial" w:hAnsi="Arial" w:eastAsia="Arial"/>
          <w:b/>
          <w:sz w:val="24"/>
        </w:rPr>
        <w:t xml:space="preserve">Additional files</w:t>
      </w:r>
    </w:p>
    <w:p>
      <w:pPr>
        <w:pStyle w:val="FirstParagraph"/>
      </w:pPr>
      <w:r>
        <w:rPr>
          <w:rFonts w:ascii="Arial" w:hAnsi="Arial" w:eastAsia="Arial"/>
          <w:b/>
          <w:bCs/>
          <w:sz w:val="21"/>
        </w:rPr>
        <w:t xml:space="preserve">Additional file 1 (.docx):</w:t>
      </w:r>
      <w:r>
        <w:rPr>
          <w:rFonts w:ascii="Arial" w:hAnsi="Arial" w:eastAsia="Arial"/>
          <w:sz w:val="21"/>
        </w:rPr>
        <w:t xml:space="preserve"> </w:t>
      </w:r>
      <w:r>
        <w:rPr>
          <w:rFonts w:ascii="Arial" w:hAnsi="Arial" w:eastAsia="Arial"/>
          <w:sz w:val="21"/>
        </w:rPr>
        <w:t xml:space="preserve">Supplementary information. Extended evidence-boundary and reproducibility tables supporting the disease-blind reconstruction, sample-level composition, pseudobulk replication and regulatory analyses.</w:t>
      </w:r>
    </w:p>
    <w:p>
      <w:pPr>
        <w:pStyle w:val="BodyText"/>
      </w:pPr>
      <w:r>
        <w:rPr>
          <w:rFonts w:ascii="Arial" w:hAnsi="Arial" w:eastAsia="Arial"/>
          <w:b/>
          <w:bCs/>
          <w:sz w:val="21"/>
        </w:rPr>
        <w:t xml:space="preserve">Additional file 2 (.zip):</w:t>
      </w:r>
      <w:r>
        <w:rPr>
          <w:rFonts w:ascii="Arial" w:hAnsi="Arial" w:eastAsia="Arial"/>
          <w:sz w:val="21"/>
        </w:rPr>
        <w:t xml:space="preserve"> </w:t>
      </w:r>
      <w:r>
        <w:rPr>
          <w:rFonts w:ascii="Arial" w:hAnsi="Arial" w:eastAsia="Arial"/>
          <w:sz w:val="21"/>
        </w:rPr>
        <w:t xml:space="preserve">Figure source data. Machine-readable CSV files underlying Figures 1-5 and Supplementary Figures S1-S10, with a SHA-256 manifest.</w:t>
      </w:r>
    </w:p>
    <w:p>
      <w:pPr>
        <w:pStyle w:val="BodyText"/>
      </w:pPr>
      <w:r>
        <w:rPr>
          <w:rFonts w:ascii="Arial" w:hAnsi="Arial" w:eastAsia="Arial"/>
          <w:b/>
          <w:bCs/>
          <w:sz w:val="21"/>
        </w:rPr>
        <w:t xml:space="preserve">Additional file 3 (.zip):</w:t>
      </w:r>
      <w:r>
        <w:rPr>
          <w:rFonts w:ascii="Arial" w:hAnsi="Arial" w:eastAsia="Arial"/>
          <w:sz w:val="21"/>
        </w:rPr>
        <w:t xml:space="preserve"> </w:t>
      </w:r>
      <w:r>
        <w:rPr>
          <w:rFonts w:ascii="Arial" w:hAnsi="Arial" w:eastAsia="Arial"/>
          <w:sz w:val="21"/>
        </w:rPr>
        <w:t xml:space="preserve">Regulator sensitivity. Baseline correlation-aware STAT1/STAT2 tests, post-freeze IFN-overlap-depletion results, leave-one-target diagnostics, Figure S8 Source Data, qualified decision records and a SHA-256 manifest.</w:t>
      </w:r>
    </w:p>
    <w:p>
      <w:pPr>
        <w:pStyle w:val="BodyText"/>
      </w:pPr>
      <w:r>
        <w:rPr>
          <w:rFonts w:ascii="Arial" w:hAnsi="Arial" w:eastAsia="Arial"/>
          <w:b/>
          <w:bCs/>
          <w:sz w:val="21"/>
        </w:rPr>
        <w:t xml:space="preserve">Additional file 4 (.zip):</w:t>
      </w:r>
      <w:r>
        <w:rPr>
          <w:rFonts w:ascii="Arial" w:hAnsi="Arial" w:eastAsia="Arial"/>
          <w:sz w:val="21"/>
        </w:rPr>
        <w:t xml:space="preserve"> </w:t>
      </w:r>
      <w:r>
        <w:rPr>
          <w:rFonts w:ascii="Arial" w:hAnsi="Arial" w:eastAsia="Arial"/>
          <w:sz w:val="21"/>
        </w:rPr>
        <w:t xml:space="preserve">Full statistical results. Complete gene-level results for 12 frozen model branches, composition and program tables, regulator and orthogonal results, end-to-end identity robustness and boundary-propagation outputs, corrected external-mapping calibration diagnostics, sanitized design matrices, the statistical-family map and SHA-256 provenance manifests. The calibration extension contains no corrected external disease-effect estimates.</w:t>
      </w:r>
    </w:p>
    <w:bookmarkEnd w:id="65"/>
    <w:bookmarkStart w:id="71" w:name="figure-legends"/>
    <w:p>
      <w:pPr>
        <w:pStyle w:val="Heading2"/>
        <w:keepNext/>
      </w:pPr>
      <w:r>
        <w:rPr>
          <w:rFonts w:ascii="Arial" w:hAnsi="Arial" w:eastAsia="Arial"/>
          <w:b/>
          <w:sz w:val="24"/>
        </w:rPr>
        <w:t xml:space="preserve">Figure legends</w:t>
      </w:r>
    </w:p>
    <w:bookmarkStart w:id="66" w:name="Xb51eb3cecb3fb48ef02023fdaafa239c83e17bf"/>
    <w:p>
      <w:pPr>
        <w:pStyle w:val="Heading3"/>
        <w:keepNext/>
      </w:pPr>
      <w:r>
        <w:rPr>
          <w:rFonts w:ascii="Arial" w:hAnsi="Arial" w:eastAsia="Arial"/>
          <w:b/>
          <w:sz w:val="21"/>
        </w:rPr>
        <w:t xml:space="preserve">Figure 1 | Disease-blind reconstruction defines the permissible identity scope</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Study design and evidence hierarchy. GSE174188 B-lineage cells passed hard quality control before construction of a disease-blind</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analysis scaffold and separation into</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composition and</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 </w:t>
      </w:r>
      <w:r>
        <w:rPr>
          <w:rFonts w:ascii="Arial" w:hAnsi="Arial" w:eastAsia="Arial"/>
          <w:sz w:val="21"/>
        </w:rPr>
        <w:t xml:space="preserve">pseudobulk/program analyses. GSE174188 internal validation and GSE135779 independent replication are displayed in parallel, followed by three interpretation-only evidence classes.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Mapped adjusted Rand index and mapping agreement in each frozen-representation two-compartment graph resample; the dashed horizontal guide marks the minimum mapping-agreement criterion of 0.990.</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Minimum and median state Jaccard indices from the same frozen-representation analysis for</w:t>
      </w:r>
      <w:r>
        <w:rPr>
          <w:rFonts w:ascii="Arial" w:hAnsi="Arial" w:eastAsia="Arial"/>
          <w:sz w:val="21"/>
        </w:rPr>
        <w:t xml:space="preserve"> </w:t>
      </w:r>
      <w:r>
        <w:rPr>
          <w:rStyle w:val="VerbatimChar"/>
          <w:rFonts w:ascii="Arial" w:hAnsi="Arial" w:eastAsia="Arial"/>
          <w:sz w:val="21"/>
        </w:rPr>
        <w:t xml:space="preserve">B_CONV</w:t>
      </w:r>
      <w:r>
        <w:rPr>
          <w:rFonts w:ascii="Arial" w:hAnsi="Arial" w:eastAsia="Arial"/>
          <w:sz w:val="21"/>
        </w:rPr>
        <w:t xml:space="preserve"> </w:t>
      </w:r>
      <w:r>
        <w:rPr>
          <w:rFonts w:ascii="Arial" w:hAnsi="Arial" w:eastAsia="Arial"/>
          <w:sz w:val="21"/>
        </w:rPr>
        <w:t xml:space="preserve">and</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bookmarkEnd w:id="66"/>
    <w:bookmarkStart w:id="67" w:name="Xd19edb4188cfe5310f2d93cbbe464ff5edbba93"/>
    <w:p>
      <w:pPr>
        <w:pStyle w:val="Heading3"/>
        <w:keepNext/>
      </w:pPr>
      <w:r>
        <w:rPr>
          <w:rFonts w:ascii="Arial" w:hAnsi="Arial" w:eastAsia="Arial"/>
          <w:b/>
          <w:sz w:val="21"/>
        </w:rPr>
        <w:t xml:space="preserve">Figure 2 | Sample-level analysis does not support primary B_ASC enrichment</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Observed</w:t>
      </w:r>
      <w:r>
        <w:rPr>
          <w:rFonts w:ascii="Arial" w:hAnsi="Arial" w:eastAsia="Arial"/>
          <w:sz w:val="21"/>
        </w:rPr>
        <w:t xml:space="preserve"> </w:t>
      </w:r>
      <w:r>
        <w:rPr>
          <w:rStyle w:val="VerbatimChar"/>
          <w:rFonts w:ascii="Arial" w:hAnsi="Arial" w:eastAsia="Arial"/>
          <w:sz w:val="21"/>
        </w:rPr>
        <w:t xml:space="preserve">B_ASC</w:t>
      </w:r>
      <w:r>
        <w:rPr>
          <w:rFonts w:ascii="Arial" w:hAnsi="Arial" w:eastAsia="Arial"/>
          <w:sz w:val="21"/>
        </w:rPr>
        <w:t xml:space="preserve"> </w:t>
      </w:r>
      <w:r>
        <w:rPr>
          <w:rFonts w:ascii="Arial" w:hAnsi="Arial" w:eastAsia="Arial"/>
          <w:sz w:val="21"/>
        </w:rPr>
        <w:t xml:space="preserve">fractions for exactly 43 control and 47 managed-SLE sample-cohort strata in the primary composition contrast; diamonds and bars show adjusted fractions and 95% confidence intervals.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Primary, internal, donor-nonoverlap and secondary flare conditional odds ratios.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Frozen primary estimate and mandatory minimum-cell, explicit non-B and residual-doublet sensitivities.</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Conditional odds ratios after each of 90 primary sample deletions; the horizontal line is the full estimate. The flare contrast is secondary and did not pass the frozen three-contrast false-discovery-rate rule.</w:t>
      </w:r>
    </w:p>
    <w:bookmarkEnd w:id="67"/>
    <w:bookmarkStart w:id="68" w:name="Xb91052be3c4d3a906a91a8742f32924c0e842f5"/>
    <w:p>
      <w:pPr>
        <w:pStyle w:val="Heading3"/>
        <w:keepNext/>
      </w:pPr>
      <w:r>
        <w:rPr>
          <w:rFonts w:ascii="Arial" w:hAnsi="Arial" w:eastAsia="Arial"/>
          <w:b/>
          <w:sz w:val="21"/>
        </w:rPr>
        <w:t xml:space="preserve">Figure 3 | GSE174188 B_CONV transcription prioritizes IFN/ISG remodeling</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Effects and 95% confidence intervals for the four frozen programs in the primary contrast.</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IFN/ISG estimates across primary support thresholds, residual-risk restriction, internal replication, donor-nonoverlap internal replication and the secondary flare contrast.</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IFN/ISG and prespecified platelet/ambient, ASC/UPR and pan-B specificity families in the primary and donor-nonoverlap contrasts. Program intervals use HC3 uncertainty; confirmatory q values use the frozen four-program family.</w:t>
      </w:r>
    </w:p>
    <w:bookmarkEnd w:id="68"/>
    <w:bookmarkStart w:id="69" w:name="X05f698f76da7358898af5525aeaba1de0f3e4ee"/>
    <w:p>
      <w:pPr>
        <w:pStyle w:val="Heading3"/>
        <w:keepNext/>
      </w:pPr>
      <w:r>
        <w:rPr>
          <w:rFonts w:ascii="Arial" w:hAnsi="Arial" w:eastAsia="Arial"/>
          <w:b/>
          <w:sz w:val="21"/>
        </w:rPr>
        <w:t xml:space="preserve">Figure 4 | GSE135779 independently replicates the frozen IFN/ISG program</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Standardized IFN/ISG effects for childhood, combined, adult and support-threshold external analyses.</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Standardized discovery and internal GSE174188 effects beside independent GSE135779 effects.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Effects for 4,410 genes tested in both primary datasets, with ten jointly tested frozen IFN genes highlighted; all ten were positive in both datasets despite Spearman rho=0.026 genome-wide.</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bookmarkEnd w:id="69"/>
    <w:bookmarkStart w:id="70" w:name="X2e2626db5041e43ac72edabbf34470171792852"/>
    <w:p>
      <w:pPr>
        <w:pStyle w:val="Heading3"/>
        <w:keepNext/>
      </w:pPr>
      <w:r>
        <w:rPr>
          <w:rFonts w:ascii="Arial" w:hAnsi="Arial" w:eastAsia="Arial"/>
          <w:b/>
          <w:sz w:val="21"/>
        </w:rPr>
        <w:t xml:space="preserve">Figure 5 | Convergent observational evidence supports IFN-centred regulation</w:t>
      </w:r>
    </w:p>
    <w:p>
      <w:pPr>
        <w:pStyle w:val="FirstParagraph"/>
      </w:pPr>
      <w:r>
        <w:rPr>
          <w:rFonts w:ascii="Arial" w:hAnsi="Arial" w:eastAsia="Arial"/>
          <w:b/>
          <w:bCs/>
          <w:sz w:val="21"/>
        </w:rPr>
        <w:t xml:space="preserve">a,</w:t>
      </w:r>
      <w:r>
        <w:rPr>
          <w:rFonts w:ascii="Arial" w:hAnsi="Arial" w:eastAsia="Arial"/>
          <w:sz w:val="21"/>
        </w:rPr>
        <w:t xml:space="preserve"> </w:t>
      </w:r>
      <w:r>
        <w:rPr>
          <w:rFonts w:ascii="Arial" w:hAnsi="Arial" w:eastAsia="Arial"/>
          <w:sz w:val="21"/>
        </w:rPr>
        <w:t xml:space="preserve">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w:t>
      </w:r>
      <w:r>
        <w:rPr>
          <w:rFonts w:ascii="Arial" w:hAnsi="Arial" w:eastAsia="Arial"/>
          <w:sz w:val="21"/>
        </w:rPr>
        <w:t xml:space="preserve"> </w:t>
      </w:r>
      <w:r>
        <w:rPr>
          <w:rFonts w:ascii="Arial" w:hAnsi="Arial" w:eastAsia="Arial"/>
          <w:b/>
          <w:bCs/>
          <w:sz w:val="21"/>
        </w:rPr>
        <w:t xml:space="preserve">b,</w:t>
      </w:r>
      <w:r>
        <w:rPr>
          <w:rFonts w:ascii="Arial" w:hAnsi="Arial" w:eastAsia="Arial"/>
          <w:sz w:val="21"/>
        </w:rPr>
        <w:t xml:space="preserve"> </w:t>
      </w:r>
      <w:r>
        <w:rPr>
          <w:rFonts w:ascii="Arial" w:hAnsi="Arial" w:eastAsia="Arial"/>
          <w:sz w:val="21"/>
        </w:rPr>
        <w:t xml:space="preserve">Core STAT1/STAT2 and extended IRF7/IRF9 CollecTRI activity slopes in the GSE174188 primary, GSE174188 donor-nonoverlap and GSE135779 childhood contrasts.</w:t>
      </w:r>
      <w:r>
        <w:rPr>
          <w:rFonts w:ascii="Arial" w:hAnsi="Arial" w:eastAsia="Arial"/>
          <w:sz w:val="21"/>
        </w:rPr>
        <w:t xml:space="preserve"> </w:t>
      </w:r>
      <w:r>
        <w:rPr>
          <w:rFonts w:ascii="Arial" w:hAnsi="Arial" w:eastAsia="Arial"/>
          <w:b/>
          <w:bCs/>
          <w:sz w:val="21"/>
        </w:rPr>
        <w:t xml:space="preserve">c,</w:t>
      </w:r>
      <w:r>
        <w:rPr>
          <w:rFonts w:ascii="Arial" w:hAnsi="Arial" w:eastAsia="Arial"/>
          <w:sz w:val="21"/>
        </w:rPr>
        <w:t xml:space="preserve"> </w:t>
      </w:r>
      <w:r>
        <w:rPr>
          <w:rFonts w:ascii="Arial" w:hAnsi="Arial" w:eastAsia="Arial"/>
          <w:sz w:val="21"/>
        </w:rPr>
        <w:t xml:space="preserve">Prespecified E2F1, FOXM1, MYC and MYBL2 proliferation specificity comparators. Asterisks indicate global 24-test q&lt;0.05.</w:t>
      </w:r>
      <w:r>
        <w:rPr>
          <w:rFonts w:ascii="Arial" w:hAnsi="Arial" w:eastAsia="Arial"/>
          <w:sz w:val="21"/>
        </w:rPr>
        <w:t xml:space="preserve"> </w:t>
      </w:r>
      <w:r>
        <w:rPr>
          <w:rFonts w:ascii="Arial" w:hAnsi="Arial" w:eastAsia="Arial"/>
          <w:b/>
          <w:bCs/>
          <w:sz w:val="21"/>
        </w:rPr>
        <w:t xml:space="preserve">d,</w:t>
      </w:r>
      <w:r>
        <w:rPr>
          <w:rFonts w:ascii="Arial" w:hAnsi="Arial" w:eastAsia="Arial"/>
          <w:sz w:val="21"/>
        </w:rPr>
        <w:t xml:space="preserve"> </w:t>
      </w:r>
      <w:r>
        <w:rPr>
          <w:rFonts w:ascii="Arial" w:hAnsi="Arial" w:eastAsia="Arial"/>
          <w:sz w:val="21"/>
        </w:rPr>
        <w:t xml:space="preserve">M5911 Hallmark interferon-alpha response normalized enrichment scores from 10,000 gene-label permutations per contrast.</w:t>
      </w:r>
      <w:r>
        <w:rPr>
          <w:rFonts w:ascii="Arial" w:hAnsi="Arial" w:eastAsia="Arial"/>
          <w:sz w:val="21"/>
        </w:rPr>
        <w:t xml:space="preserve"> </w:t>
      </w:r>
      <w:r>
        <w:rPr>
          <w:rFonts w:ascii="Arial" w:hAnsi="Arial" w:eastAsia="Arial"/>
          <w:b/>
          <w:bCs/>
          <w:sz w:val="21"/>
        </w:rPr>
        <w:t xml:space="preserve">e,</w:t>
      </w:r>
      <w:r>
        <w:rPr>
          <w:rFonts w:ascii="Arial" w:hAnsi="Arial" w:eastAsia="Arial"/>
          <w:sz w:val="21"/>
        </w:rPr>
        <w:t xml:space="preserve"> </w:t>
      </w:r>
      <w:r>
        <w:rPr>
          <w:rFonts w:ascii="Arial" w:hAnsi="Arial" w:eastAsia="Arial"/>
          <w:sz w:val="21"/>
        </w:rPr>
        <w:t xml:space="preserve">Mean paired log2(x+1) effects for the 12-gene IFN positive arm after ex vivo IFN-beta exposure in primary B cells from two healthy donors; labels show positive genes. The GSE23307 panel is descriptive at n=2 and carries no inferential P value.</w:t>
      </w:r>
    </w:p>
    <w:bookmarkEnd w:id="70"/>
    <w:bookmarkEnd w:id="71"/>
    <w:bookmarkStart w:id="75" w:name="references"/>
    <w:p>
      <w:pPr>
        <w:pStyle w:val="Heading2"/>
        <w:keepNext/>
      </w:pPr>
      <w:r>
        <w:rPr>
          <w:rFonts w:ascii="Arial" w:hAnsi="Arial" w:eastAsia="Arial"/>
          <w:b/>
          <w:sz w:val="24"/>
        </w:rPr>
        <w:t xml:space="preserve">References</w:t>
      </w:r>
    </w:p>
    <w:p>
      <w:pPr>
        <w:pStyle w:val="Compact"/>
        <w:numPr>
          <w:ilvl w:val="0"/>
          <w:numId w:val="1001"/>
        </w:numPr>
        <w:spacing w:line="252" w:lineRule="auto" w:after="40"/>
      </w:pPr>
      <w:r>
        <w:rPr>
          <w:rFonts w:ascii="Arial" w:hAnsi="Arial" w:eastAsia="Arial"/>
          <w:sz w:val="19"/>
        </w:rPr>
        <w:t xml:space="preserve">Perez RK, Gordon MG, Subramaniam M, Kim MC, Hartoularos GC, Targ S, et al. Single-cell RNA-seq reveals cell type-specific molecular and genetic associations to lupus. Science. 2022;376(6589):eabf1970. doi:10.1126/science.abf1970.</w:t>
      </w:r>
    </w:p>
    <w:p>
      <w:pPr>
        <w:pStyle w:val="Compact"/>
        <w:numPr>
          <w:ilvl w:val="0"/>
          <w:numId w:val="1001"/>
        </w:numPr>
        <w:spacing w:line="252" w:lineRule="auto" w:after="40"/>
      </w:pPr>
      <w:r>
        <w:rPr>
          <w:rFonts w:ascii="Arial" w:hAnsi="Arial" w:eastAsia="Arial"/>
          <w:sz w:val="19"/>
        </w:rPr>
        <w:t xml:space="preserve">Nehar-Belaid D, Hong S, Marches R, Chen G, Bolisetty M, Baisch J, et al. Mapping systemic lupus erythematosus heterogeneity at the single-cell level. Nature Immunology. 2020;21(9):1094-1106. doi:10.1038/s41590-020-0743-0.</w:t>
      </w:r>
    </w:p>
    <w:p>
      <w:pPr>
        <w:pStyle w:val="Compact"/>
        <w:numPr>
          <w:ilvl w:val="0"/>
          <w:numId w:val="1001"/>
        </w:numPr>
        <w:spacing w:line="252" w:lineRule="auto" w:after="40"/>
      </w:pPr>
      <w:r>
        <w:rPr>
          <w:rFonts w:ascii="Arial" w:hAnsi="Arial" w:eastAsia="Arial"/>
          <w:sz w:val="19"/>
        </w:rPr>
        <w:t xml:space="preserve">Jenks SA, Cashman KS, Zumaquero E, Marigorta UM, Patel AV, Wang X, et al. Distinct Effector B Cells Induced by Unregulated Toll-like Receptor 7 Contribute to Pathogenic Responses in Systemic Lupus Erythematosus. Immunity. 2018;49(4):725-739.e6. doi:10.1016/j.immuni.2018.08.015.</w:t>
      </w:r>
    </w:p>
    <w:p>
      <w:pPr>
        <w:pStyle w:val="Compact"/>
        <w:numPr>
          <w:ilvl w:val="0"/>
          <w:numId w:val="1001"/>
        </w:numPr>
        <w:spacing w:line="252" w:lineRule="auto" w:after="40"/>
      </w:pPr>
      <w:r>
        <w:rPr>
          <w:rFonts w:ascii="Arial" w:hAnsi="Arial" w:eastAsia="Arial"/>
          <w:sz w:val="19"/>
        </w:rPr>
        <w:t xml:space="preserve">Szelinski F, Stefanski AL, Schrezenmeier E, Rincon-Arevalo H, Wiedemann A, Reiter K, et al. Plasmablast-like Phenotype Among Antigen-Experienced CXCR5 - CD19 low B Cells in Systemic Lupus Erythematosus. Arthritis &amp; Rheumatology. 2022;74(9):1556-1568. doi:10.1002/art.42157.</w:t>
      </w:r>
    </w:p>
    <w:p>
      <w:pPr>
        <w:pStyle w:val="Compact"/>
        <w:numPr>
          <w:ilvl w:val="0"/>
          <w:numId w:val="1001"/>
        </w:numPr>
        <w:spacing w:line="252" w:lineRule="auto" w:after="40"/>
      </w:pPr>
      <w:r>
        <w:rPr>
          <w:rFonts w:ascii="Arial" w:hAnsi="Arial" w:eastAsia="Arial"/>
          <w:sz w:val="19"/>
        </w:rPr>
        <w:t xml:space="preserve">Crowell HL, Soneson C, Germain PL, Calini D, Collin L, Raposo C, et al. muscat detects subpopulation-specific state transitions from multi-sample multi-condition single-cell transcriptomics data. Nature Communications. 2020;11(1):6077. doi:10.1038/s41467-020-19894-4.</w:t>
      </w:r>
    </w:p>
    <w:p>
      <w:pPr>
        <w:pStyle w:val="Compact"/>
        <w:numPr>
          <w:ilvl w:val="0"/>
          <w:numId w:val="1001"/>
        </w:numPr>
        <w:spacing w:line="252" w:lineRule="auto" w:after="40"/>
      </w:pPr>
      <w:r>
        <w:rPr>
          <w:rFonts w:ascii="Arial" w:hAnsi="Arial" w:eastAsia="Arial"/>
          <w:sz w:val="19"/>
        </w:rPr>
        <w:t xml:space="preserve">Squair JW, Gautier M, Kathe C, Anderson MA, James ND, Hutson TH, et al. Confronting false discoveries in single-cell differential expression. Nature Communications. 2021;12(1):5692. doi:10.1038/s41467-021-25960-2.</w:t>
      </w:r>
    </w:p>
    <w:p>
      <w:pPr>
        <w:pStyle w:val="Compact"/>
        <w:numPr>
          <w:ilvl w:val="0"/>
          <w:numId w:val="1001"/>
        </w:numPr>
        <w:spacing w:line="252" w:lineRule="auto" w:after="40"/>
      </w:pPr>
      <w:r>
        <w:rPr>
          <w:rFonts w:ascii="Arial" w:hAnsi="Arial" w:eastAsia="Arial"/>
          <w:sz w:val="19"/>
        </w:rPr>
        <w:t xml:space="preserve">Büttner M, Ostner J, Müller CL, Theis FJ, Schubert B. scCODA is a Bayesian model for compositional single-cell data analysis. Nature Communications. 2021;12(1):6876. doi:10.1038/s41467-021-27150-6.</w:t>
      </w:r>
    </w:p>
    <w:p>
      <w:pPr>
        <w:pStyle w:val="Compact"/>
        <w:numPr>
          <w:ilvl w:val="0"/>
          <w:numId w:val="1001"/>
        </w:numPr>
        <w:spacing w:line="252" w:lineRule="auto" w:after="40"/>
      </w:pPr>
      <w:r>
        <w:rPr>
          <w:rFonts w:ascii="Arial" w:hAnsi="Arial" w:eastAsia="Arial"/>
          <w:sz w:val="19"/>
        </w:rPr>
        <w:t xml:space="preserve">Banchereau R, Hong S, Cantarel B, Baldwin N, Baisch J, Edens M, et al. Personalized Immunomonitoring Uncovers Molecular Networks that Stratify Lupus Patients. Cell. 2016;165(3):551-565. doi:10.1016/j.cell.2016.03.008.</w:t>
      </w:r>
    </w:p>
    <w:p>
      <w:pPr>
        <w:pStyle w:val="Compact"/>
        <w:numPr>
          <w:ilvl w:val="0"/>
          <w:numId w:val="1001"/>
        </w:numPr>
        <w:spacing w:line="252" w:lineRule="auto" w:after="40"/>
      </w:pPr>
      <w:r>
        <w:rPr>
          <w:rFonts w:ascii="Arial" w:hAnsi="Arial" w:eastAsia="Arial"/>
          <w:sz w:val="19"/>
        </w:rPr>
        <w:t xml:space="preserve">Chiche L, Jourde-Chiche N, Whalen E, Presnell S, Gersuk V, Dang K, et al. Modular Transcriptional Repertoire Analyses of Adults With Systemic Lupus Erythematosus Reveal Distinct Type I and Type II Interferon Signatures. Arthritis &amp; Rheumatology. 2014;66(6):1583-1595. doi:10.1002/art.38628.</w:t>
      </w:r>
    </w:p>
    <w:p>
      <w:pPr>
        <w:pStyle w:val="Compact"/>
        <w:numPr>
          <w:ilvl w:val="0"/>
          <w:numId w:val="1001"/>
        </w:numPr>
        <w:spacing w:line="252" w:lineRule="auto" w:after="40"/>
      </w:pPr>
      <w:r>
        <w:rPr>
          <w:rFonts w:ascii="Arial" w:hAnsi="Arial" w:eastAsia="Arial"/>
          <w:sz w:val="19"/>
        </w:rPr>
        <w:t xml:space="preserve">van Dooren HJ, Atisha-Fregoso Y, Dorjée AL, Huizinga TWJ, Mackay M, Aranow C, et al. Interferon signatures fuel B cell hyperactivity and plasmablast expansion in systemic lupus erythematosus. Journal of Autoimmunity. 2025;154:103438. doi:10.1016/j.jaut.2025.103438.</w:t>
      </w:r>
    </w:p>
    <w:p>
      <w:pPr>
        <w:pStyle w:val="Compact"/>
        <w:numPr>
          <w:ilvl w:val="0"/>
          <w:numId w:val="1001"/>
        </w:numPr>
        <w:spacing w:line="252" w:lineRule="auto" w:after="40"/>
      </w:pPr>
      <w:r>
        <w:rPr>
          <w:rFonts w:ascii="Arial" w:hAnsi="Arial" w:eastAsia="Arial"/>
          <w:sz w:val="19"/>
        </w:rPr>
        <w:t xml:space="preserve">Hubbard EL, Bachali P, Kingsmore KM, He Y, Catalina MD, Grammer AC, et al. Analysis of transcriptomic features reveals molecular endotypes of SLE with clinical implications. Genome Medicine. 2023;15(1):84. doi:10.1186/s13073-023-01237-9.</w:t>
      </w:r>
    </w:p>
    <w:p>
      <w:pPr>
        <w:pStyle w:val="Compact"/>
        <w:numPr>
          <w:ilvl w:val="0"/>
          <w:numId w:val="1001"/>
        </w:numPr>
        <w:spacing w:line="252" w:lineRule="auto" w:after="40"/>
      </w:pPr>
      <w:r>
        <w:rPr>
          <w:rFonts w:ascii="Arial" w:hAnsi="Arial" w:eastAsia="Arial"/>
          <w:sz w:val="19"/>
        </w:rPr>
        <w:t xml:space="preserve">Sayadi A, Eloranta M-L, Oparina N, Wallgren M, Skoglund E, Frodlund M, et al. Single-cell RNA-seq reveals a persistent interferon signature in immune cells from systemic lupus erythematosus patients with high versus low polygenic risk scores despite antimalarial treatment. Journal of Autoimmunity. 2026;161:103575. doi:10.1016/j.jaut.2026.103575.</w:t>
      </w:r>
    </w:p>
    <w:p>
      <w:pPr>
        <w:pStyle w:val="Compact"/>
        <w:numPr>
          <w:ilvl w:val="0"/>
          <w:numId w:val="1001"/>
        </w:numPr>
        <w:spacing w:line="252" w:lineRule="auto" w:after="40"/>
      </w:pPr>
      <w:r>
        <w:rPr>
          <w:rFonts w:ascii="Arial" w:hAnsi="Arial" w:eastAsia="Arial"/>
          <w:sz w:val="19"/>
        </w:rPr>
        <w:t xml:space="preserve">Arazi A, Rao DA, Berthier CC, Davidson A, Liu Y, Hoover PJ, et al. The immune cell landscape in kidneys of patients with lupus nephritis. Nature Immunology. 2019;20(7):902-914. doi:10.1038/s41590-019-0398-x.</w:t>
      </w:r>
    </w:p>
    <w:p>
      <w:pPr>
        <w:pStyle w:val="Compact"/>
        <w:numPr>
          <w:ilvl w:val="0"/>
          <w:numId w:val="1001"/>
        </w:numPr>
        <w:spacing w:line="252" w:lineRule="auto" w:after="40"/>
      </w:pPr>
      <w:r>
        <w:rPr>
          <w:rFonts w:ascii="Arial" w:hAnsi="Arial" w:eastAsia="Arial"/>
          <w:sz w:val="19"/>
        </w:rPr>
        <w:t xml:space="preserve">Akita K, Yasaka K, Shirai T, Ishii T, Harigae H, Fujii H. Interferon alpha Enhances B Cell Activation Associated With FOXM1 Induction: Potential Novel Therapeutic Strategy for Targeting the Plasmablasts of Systemic Lupus Erythematosus. Frontiers in Immunology. 2021;11:498703. doi:10.3389/fimmu.2020.498703.</w:t>
      </w:r>
    </w:p>
    <w:p>
      <w:pPr>
        <w:pStyle w:val="Compact"/>
        <w:numPr>
          <w:ilvl w:val="0"/>
          <w:numId w:val="1001"/>
        </w:numPr>
        <w:spacing w:line="252" w:lineRule="auto" w:after="40"/>
      </w:pPr>
      <w:r>
        <w:rPr>
          <w:rFonts w:ascii="Arial" w:hAnsi="Arial" w:eastAsia="Arial"/>
          <w:sz w:val="19"/>
        </w:rPr>
        <w:t xml:space="preserve">Barnas JL, Albrecht J, Meednu N, Alzamareh DF, Baker C, McDavid A, et al. B Cell Activation and Plasma Cell Differentiation Are Promoted by IFN-lambda in Systemic Lupus Erythematosus. The Journal of Immunology. 2021;207(11):2660-2672. doi:10.4049/jimmunol.2100339.</w:t>
      </w:r>
    </w:p>
    <w:p>
      <w:pPr>
        <w:pStyle w:val="Compact"/>
        <w:numPr>
          <w:ilvl w:val="0"/>
          <w:numId w:val="1001"/>
        </w:numPr>
        <w:spacing w:line="252" w:lineRule="auto" w:after="40"/>
      </w:pPr>
      <w:r>
        <w:rPr>
          <w:rFonts w:ascii="Arial" w:hAnsi="Arial" w:eastAsia="Arial"/>
          <w:sz w:val="19"/>
        </w:rPr>
        <w:t xml:space="preserve">Faheem Z, Boukhaled GM, Nassar C, Manion K, Kim M, Bonilla D, et al. Type I interferons enhance B cell activation and promote differentiation of double negative 2 cells in SLE. Lupus Science &amp; Medicine. 2026;13(1):e002042. doi:10.1136/lupus-2026-002042.</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GSE174188.</w:t>
      </w:r>
      <w:r>
        <w:rPr>
          <w:rFonts w:ascii="Arial" w:hAnsi="Arial" w:eastAsia="Arial"/>
          <w:sz w:val="19"/>
        </w:rPr>
        <w:t xml:space="preserve"> </w:t>
      </w:r>
      <w:hyperlink r:id="rId72">
        <w:r>
          <w:rPr>
            <w:rStyle w:val="Hyperlink"/>
          </w:rPr>
          <w:t xml:space="preserve">https://www.ncbi.nlm.nih.gov/geo/query/acc.cgi?acc=GSE174188</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GSE135779.</w:t>
      </w:r>
      <w:r>
        <w:rPr>
          <w:rFonts w:ascii="Arial" w:hAnsi="Arial" w:eastAsia="Arial"/>
          <w:sz w:val="19"/>
        </w:rPr>
        <w:t xml:space="preserve"> </w:t>
      </w:r>
      <w:hyperlink r:id="rId73">
        <w:r>
          <w:rPr>
            <w:rStyle w:val="Hyperlink"/>
          </w:rPr>
          <w:t xml:space="preserve">https://www.ncbi.nlm.nih.gov/geo/query/acc.cgi?acc=GSE135779</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van Boxel-Dezaire AHH, Zula JA, Xu Y, Ransohoff RM, Jacobberger JW, Stark GR. Major Differences in the Responses of Primary Human Leukocyte Subsets to IFN-beta. The Journal of Immunology. 2010;185(10):5888-5899. doi:10.4049/jimmunol.0902314.</w:t>
      </w:r>
    </w:p>
    <w:p>
      <w:pPr>
        <w:pStyle w:val="Compact"/>
        <w:numPr>
          <w:ilvl w:val="0"/>
          <w:numId w:val="1001"/>
        </w:numPr>
        <w:spacing w:line="252" w:lineRule="auto" w:after="40"/>
      </w:pPr>
      <w:r>
        <w:rPr>
          <w:rFonts w:ascii="Arial" w:hAnsi="Arial" w:eastAsia="Arial"/>
          <w:sz w:val="19"/>
        </w:rPr>
        <w:t xml:space="preserve">National Center for Biotechnology Information. Gene Expression Omnibus series GSE23307.</w:t>
      </w:r>
      <w:r>
        <w:rPr>
          <w:rFonts w:ascii="Arial" w:hAnsi="Arial" w:eastAsia="Arial"/>
          <w:sz w:val="19"/>
        </w:rPr>
        <w:t xml:space="preserve"> </w:t>
      </w:r>
      <w:hyperlink r:id="rId74">
        <w:r>
          <w:rPr>
            <w:rStyle w:val="Hyperlink"/>
          </w:rPr>
          <w:t xml:space="preserve">https://www.ncbi.nlm.nih.gov/geo/query/acc.cgi?acc=GSE23307</w:t>
        </w:r>
      </w:hyperlink>
      <w:r>
        <w:rPr>
          <w:rFonts w:ascii="Arial" w:hAnsi="Arial" w:eastAsia="Arial"/>
          <w:sz w:val="19"/>
        </w:rPr>
        <w:t xml:space="preserve">. Accessed 21 Aug 2026.</w:t>
      </w:r>
    </w:p>
    <w:p>
      <w:pPr>
        <w:pStyle w:val="Compact"/>
        <w:numPr>
          <w:ilvl w:val="0"/>
          <w:numId w:val="1001"/>
        </w:numPr>
        <w:spacing w:line="252" w:lineRule="auto" w:after="40"/>
      </w:pPr>
      <w:r>
        <w:rPr>
          <w:rFonts w:ascii="Arial" w:hAnsi="Arial" w:eastAsia="Arial"/>
          <w:sz w:val="19"/>
        </w:rPr>
        <w:t xml:space="preserve">Wolf FA, Angerer P, Theis FJ. SCANPY: large-scale single-cell gene expression data analysis. Genome Biology. 2018;19(1):15. doi:10.1186/s13059-017-1382-0.</w:t>
      </w:r>
    </w:p>
    <w:p>
      <w:pPr>
        <w:pStyle w:val="Compact"/>
        <w:numPr>
          <w:ilvl w:val="0"/>
          <w:numId w:val="1001"/>
        </w:numPr>
        <w:spacing w:line="252" w:lineRule="auto" w:after="40"/>
      </w:pPr>
      <w:r>
        <w:rPr>
          <w:rFonts w:ascii="Arial" w:hAnsi="Arial" w:eastAsia="Arial"/>
          <w:sz w:val="19"/>
        </w:rPr>
        <w:t xml:space="preserve">Korsunsky I, Millard N, Fan J, Slowikowski K, Zhang F, Wei K, et al. Fast, sensitive and accurate integration of single-cell data with Harmony. Nature Methods. 2019;16(12):1289-1296. doi:10.1038/s41592-019-0619-0.</w:t>
      </w:r>
    </w:p>
    <w:p>
      <w:pPr>
        <w:pStyle w:val="Compact"/>
        <w:numPr>
          <w:ilvl w:val="0"/>
          <w:numId w:val="1001"/>
        </w:numPr>
        <w:spacing w:line="252" w:lineRule="auto" w:after="40"/>
      </w:pPr>
      <w:r>
        <w:rPr>
          <w:rFonts w:ascii="Arial" w:hAnsi="Arial" w:eastAsia="Arial"/>
          <w:sz w:val="19"/>
        </w:rPr>
        <w:t xml:space="preserve">Traag VA, Waltman L, van Eck NJ. From Louvain to Leiden: guaranteeing well-connected communities. Scientific Reports. 2019;9(1):5233. doi:10.1038/s41598-019-41695-z.</w:t>
      </w:r>
    </w:p>
    <w:p>
      <w:pPr>
        <w:pStyle w:val="Compact"/>
        <w:numPr>
          <w:ilvl w:val="0"/>
          <w:numId w:val="1001"/>
        </w:numPr>
        <w:spacing w:line="252" w:lineRule="auto" w:after="40"/>
      </w:pPr>
      <w:r>
        <w:rPr>
          <w:rFonts w:ascii="Arial" w:hAnsi="Arial" w:eastAsia="Arial"/>
          <w:sz w:val="19"/>
        </w:rPr>
        <w:t xml:space="preserve">Robinson MD, McCarthy DJ, Smyth GK. edgeR: a Bioconductor package for differential expression analysis of digital gene expression data. Bioinformatics. 2010;26(1):139-140. doi:10.1093/bioinformatics/btp616.</w:t>
      </w:r>
    </w:p>
    <w:p>
      <w:pPr>
        <w:pStyle w:val="Compact"/>
        <w:numPr>
          <w:ilvl w:val="0"/>
          <w:numId w:val="1001"/>
        </w:numPr>
        <w:spacing w:line="252" w:lineRule="auto" w:after="40"/>
      </w:pPr>
      <w:r>
        <w:rPr>
          <w:rFonts w:ascii="Arial" w:hAnsi="Arial" w:eastAsia="Arial"/>
          <w:sz w:val="19"/>
        </w:rPr>
        <w:t xml:space="preserve">Badia-i-Mompel P, Vélez Santiago J, Braunger J, Geiss C, Dimitrov D, Müller-Dott S, et al. decoupleR: ensemble of computational methods to infer biological activities from omics data. Bioinformatics Advances. 2022;2(1):vbac016. doi:10.1093/bioadv/vbac016.</w:t>
      </w:r>
    </w:p>
    <w:p>
      <w:pPr>
        <w:pStyle w:val="Compact"/>
        <w:numPr>
          <w:ilvl w:val="0"/>
          <w:numId w:val="1001"/>
        </w:numPr>
        <w:spacing w:line="252" w:lineRule="auto" w:after="40"/>
      </w:pPr>
      <w:r>
        <w:rPr>
          <w:rFonts w:ascii="Arial" w:hAnsi="Arial" w:eastAsia="Arial"/>
          <w:sz w:val="19"/>
        </w:rPr>
        <w:t xml:space="preserve">Müller-Dott S, Tsirvouli E, Vazquez M, Ramirez Flores RO, Badia-i-Mompel P, Fallegger R, et al. Expanding the coverage of regulons from high-confidence prior knowledge for accurate estimation of transcription factor activities. Nucleic Acids Research. 2023;51(20):10934-10949. doi:10.1093/nar/gkad841.</w:t>
      </w:r>
    </w:p>
    <w:p>
      <w:pPr>
        <w:pStyle w:val="Compact"/>
        <w:numPr>
          <w:ilvl w:val="0"/>
          <w:numId w:val="1001"/>
        </w:numPr>
        <w:spacing w:line="252" w:lineRule="auto" w:after="40"/>
      </w:pPr>
      <w:r>
        <w:rPr>
          <w:rFonts w:ascii="Arial" w:hAnsi="Arial" w:eastAsia="Arial"/>
          <w:sz w:val="19"/>
        </w:rPr>
        <w:t xml:space="preserve">Ritchie ME, Phipson B, Wu D, Hu Y, Law CW, Shi W, et al. limma powers differential expression analyses for RNA-sequencing and microarray studies. Nucleic Acids Research. 2015;43(7):e47-e47. doi:10.1093/nar/gkv007.</w:t>
      </w:r>
    </w:p>
    <w:p>
      <w:pPr>
        <w:pStyle w:val="Compact"/>
        <w:numPr>
          <w:ilvl w:val="0"/>
          <w:numId w:val="1001"/>
        </w:numPr>
        <w:spacing w:line="252" w:lineRule="auto" w:after="40"/>
      </w:pPr>
      <w:r>
        <w:rPr>
          <w:rFonts w:ascii="Arial" w:hAnsi="Arial" w:eastAsia="Arial"/>
          <w:sz w:val="19"/>
        </w:rPr>
        <w:t xml:space="preserve">Law CW, Chen Y, Shi W, Smyth GK. voom: precision weights unlock linear model analysis tools for RNA-seq read counts. Genome Biology. 2014;15(2):R29. doi:10.1186/gb-2014-15-2-r29.</w:t>
      </w:r>
    </w:p>
    <w:p>
      <w:pPr>
        <w:pStyle w:val="Compact"/>
        <w:numPr>
          <w:ilvl w:val="0"/>
          <w:numId w:val="1001"/>
        </w:numPr>
        <w:spacing w:line="252" w:lineRule="auto" w:after="40"/>
      </w:pPr>
      <w:r>
        <w:rPr>
          <w:rFonts w:ascii="Arial" w:hAnsi="Arial" w:eastAsia="Arial"/>
          <w:sz w:val="19"/>
        </w:rPr>
        <w:t xml:space="preserve">Wu D, Smyth GK. Camera: a competitive gene set test accounting for inter-gene correlation. Nucleic Acids Research. 2012;40(17):e133-e133. doi:10.1093/nar/gks461.</w:t>
      </w:r>
    </w:p>
    <w:p>
      <w:pPr>
        <w:pStyle w:val="Compact"/>
        <w:numPr>
          <w:ilvl w:val="0"/>
          <w:numId w:val="1001"/>
        </w:numPr>
        <w:spacing w:line="252" w:lineRule="auto" w:after="40"/>
      </w:pPr>
      <w:r>
        <w:rPr>
          <w:rFonts w:ascii="Arial" w:hAnsi="Arial" w:eastAsia="Arial"/>
          <w:sz w:val="19"/>
        </w:rPr>
        <w:t xml:space="preserve">Wu D, Lim E, Vaillant F, Asselin-Labat ML, Visvader JE, Smyth GK. ROAST: rotation gene set tests for complex microarray experiments. Bioinformatics. 2010;26(17):2176-2182. doi:10.1093/bioinformatics/btq401.</w:t>
      </w:r>
    </w:p>
    <w:p>
      <w:pPr>
        <w:pStyle w:val="Compact"/>
        <w:numPr>
          <w:ilvl w:val="0"/>
          <w:numId w:val="1001"/>
        </w:numPr>
        <w:spacing w:line="252" w:lineRule="auto" w:after="40"/>
      </w:pPr>
      <w:r>
        <w:rPr>
          <w:rFonts w:ascii="Arial" w:hAnsi="Arial" w:eastAsia="Arial"/>
          <w:sz w:val="19"/>
        </w:rPr>
        <w:t xml:space="preserve">Liberzon A, Birger C, Thorvaldsdóttir H, Ghandi M, Mesirov JP, Tamayo P. The Molecular Signatures Database Hallmark Gene Set Collection. Cell Systems. 2015;1(6):417-425. doi:10.1016/j.cels.2015.12.004.</w:t>
      </w:r>
    </w:p>
    <w:p>
      <w:pPr>
        <w:pStyle w:val="Compact"/>
        <w:numPr>
          <w:ilvl w:val="0"/>
          <w:numId w:val="1001"/>
        </w:numPr>
        <w:spacing w:line="252" w:lineRule="auto" w:after="40"/>
      </w:pPr>
      <w:r>
        <w:rPr>
          <w:rFonts w:ascii="Arial" w:hAnsi="Arial" w:eastAsia="Arial"/>
          <w:sz w:val="19"/>
        </w:rPr>
        <w:t xml:space="preserve">Chen Z, Qi T. SLE B-cell remodeling analysis: code, source data and reproducible release. Zenodo. 2026. doi:10.5281/zenodo.22086892.</w:t>
      </w:r>
    </w:p>
    <w:bookmarkEnd w:id="75"/>
    <w:bookmarkEnd w:id="76"/>
    <w:sectPr>
      <w:headerReference w:type="default" r:id="rId9"/>
      <w:footerReference w:type="default" r:id="rId10"/>
      <w:pgMar w:top="1080" w:bottom="1080" w:left="1440" w:right="1080" w:header="504" w:footer="504"/>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r>
        <w:rPr>
          <w:rFonts w:ascii="Arial" w:hAnsi="Arial"/>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9D9D9"/>
      </w:pBdr>
    </w:pPr>
    <w:r>
      <w:rPr>
        <w:rFonts w:ascii="Arial" w:hAnsi="Arial"/>
        <w:color w:val="646464"/>
        <w:sz w:val="16"/>
      </w:rPr>
      <w:t>Research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00" w:line="324" w:lineRule="auto"/>
    </w:pPr>
    <w:rPr>
      <w:rFonts w:ascii="Arial" w:hAnsi="Arial" w:eastAsia="Arial"/>
      <w:b w:val="0"/>
      <w:sz w:val="21"/>
    </w:rPr>
  </w:style>
  <w:style w:styleId="BodyText" w:type="paragraph">
    <w:name w:val="Body Text"/>
    <w:basedOn w:val="Normal"/>
    <w:link w:val="BodyTextChar"/>
    <w:qFormat/>
    <w:pPr>
      <w:widowControl/>
      <w:spacing w:after="100" w:before="0" w:line="324" w:lineRule="auto"/>
    </w:pPr>
    <w:rPr>
      <w:rFonts w:ascii="Arial" w:hAnsi="Arial" w:eastAsia="Arial"/>
      <w:b w:val="0"/>
      <w:sz w:val="21"/>
    </w:rPr>
  </w:style>
  <w:style w:customStyle="1" w:styleId="FirstParagraph" w:type="paragraph">
    <w:name w:val="First Paragraph"/>
    <w:basedOn w:val="BodyText"/>
    <w:next w:val="BodyText"/>
    <w:qFormat/>
    <w:pPr>
      <w:widowControl/>
      <w:spacing w:before="0" w:after="100" w:line="324" w:lineRule="auto"/>
    </w:pPr>
    <w:rPr>
      <w:rFonts w:ascii="Arial" w:hAnsi="Arial" w:eastAsia="Arial"/>
      <w:b w:val="0"/>
      <w:sz w:val="21"/>
    </w:rPr>
  </w:style>
  <w:style w:customStyle="1" w:styleId="Compact" w:type="paragraph">
    <w:name w:val="Compact"/>
    <w:basedOn w:val="BodyText"/>
    <w:qFormat/>
    <w:pPr>
      <w:widowControl/>
      <w:spacing w:after="40" w:before="0" w:line="252" w:lineRule="auto"/>
    </w:pPr>
    <w:rPr>
      <w:rFonts w:ascii="Arial" w:hAnsi="Arial" w:eastAsia="Arial"/>
      <w:b w:val="0"/>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github.com/1209433622cz-maker/sle-bcell-remodeling" TargetMode="External"/><Relationship Id="rId21" Type="http://schemas.openxmlformats.org/officeDocument/2006/relationships/hyperlink" Target="https://orcid.org/0009-0001-0072-5576" TargetMode="External"/><Relationship Id="rId22" Type="http://schemas.openxmlformats.org/officeDocument/2006/relationships/hyperlink" Target="https://orcid.org/0009-0007-7648-4776" TargetMode="External"/><Relationship Id="rId73" Type="http://schemas.openxmlformats.org/officeDocument/2006/relationships/hyperlink" Target="https://www.ncbi.nlm.nih.gov/geo/query/acc.cgi?acc=GSE135779" TargetMode="External"/><Relationship Id="rId72" Type="http://schemas.openxmlformats.org/officeDocument/2006/relationships/hyperlink" Target="https://www.ncbi.nlm.nih.gov/geo/query/acc.cgi?acc=GSE174188" TargetMode="External"/><Relationship Id="rId74" Type="http://schemas.openxmlformats.org/officeDocument/2006/relationships/hyperlink" Target="https://www.ncbi.nlm.nih.gov/geo/query/acc.cgi?acc=GSE23307" TargetMode="External"/><Relationship Id="rId20" Type="http://schemas.openxmlformats.org/officeDocument/2006/relationships/hyperlink" Target="mailto:tengqi@link.cuhk.edu.cn" TargetMode="External"/><Relationship Id="rId23" Type="http://schemas.openxmlformats.org/officeDocument/2006/relationships/hyperlink" Target="mailto:zhichen1@link.cuhk.edu.c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github.com/1209433622cz-maker/sle-bcell-remodeling" TargetMode="External"/><Relationship Id="rId21" Type="http://schemas.openxmlformats.org/officeDocument/2006/relationships/hyperlink" Target="https://orcid.org/0009-0001-0072-5576" TargetMode="External"/><Relationship Id="rId22" Type="http://schemas.openxmlformats.org/officeDocument/2006/relationships/hyperlink" Target="https://orcid.org/0009-0007-7648-4776" TargetMode="External"/><Relationship Id="rId73" Type="http://schemas.openxmlformats.org/officeDocument/2006/relationships/hyperlink" Target="https://www.ncbi.nlm.nih.gov/geo/query/acc.cgi?acc=GSE135779" TargetMode="External"/><Relationship Id="rId72" Type="http://schemas.openxmlformats.org/officeDocument/2006/relationships/hyperlink" Target="https://www.ncbi.nlm.nih.gov/geo/query/acc.cgi?acc=GSE174188" TargetMode="External"/><Relationship Id="rId74" Type="http://schemas.openxmlformats.org/officeDocument/2006/relationships/hyperlink" Target="https://www.ncbi.nlm.nih.gov/geo/query/acc.cgi?acc=GSE23307" TargetMode="External"/><Relationship Id="rId20" Type="http://schemas.openxmlformats.org/officeDocument/2006/relationships/hyperlink" Target="mailto:tengqi@link.cuhk.edu.cn" TargetMode="External"/><Relationship Id="rId23" Type="http://schemas.openxmlformats.org/officeDocument/2006/relationships/hyperlink" Target="mailto:zhichen1@link.cuhk.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 B-cell remodeling manuscript - QiTeng refined</dc:title>
  <dc:creator/>
  <cp:keywords>SLE; B cells; interferon; single-cell RNA-seq; pseudobulk</cp:keywords>
  <dcterms:created xsi:type="dcterms:W3CDTF">2026-08-28T17:36:07Z</dcterms:created>
  <dcterms:modified xsi:type="dcterms:W3CDTF">2026-08-28T17:36:07Z</dcterms:modified>
  <dc:subject>Refined research manuscript</dc:subject>
  <dc:description>Language and argument refinement only; scientific figures and underlying analyses unchanged.</dc:description>
</cp:coreProperties>
</file>

<file path=docProps/custom.xml><?xml version="1.0" encoding="utf-8"?>
<Properties xmlns="http://schemas.openxmlformats.org/officeDocument/2006/custom-properties" xmlns:vt="http://schemas.openxmlformats.org/officeDocument/2006/docPropsVTypes"/>
</file>