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right"/>
      </w:pPr>
      <w:r>
        <w:rPr>
          <w:rFonts w:ascii="Times New Roman" w:hAnsi="Times New Roman" w:eastAsia="Times New Roman" w:cs="Times New Roman"/>
          <w:color w:val="000000"/>
          <w:sz w:val="21"/>
        </w:rPr>
        <w:t>30 August 2026</w:t>
      </w:r>
    </w:p>
    <w:p>
      <w:pPr>
        <w:keepLines/>
      </w:pPr>
      <w:r>
        <w:rPr>
          <w:rFonts w:ascii="Times New Roman" w:hAnsi="Times New Roman" w:eastAsia="Times New Roman" w:cs="Times New Roman"/>
          <w:color w:val="000000"/>
          <w:sz w:val="21"/>
        </w:rPr>
        <w:t>Teng Qi</w:t>
      </w:r>
    </w:p>
    <w:p>
      <w:pPr>
        <w:keepLines/>
      </w:pPr>
      <w:r>
        <w:rPr>
          <w:rFonts w:ascii="Times New Roman" w:hAnsi="Times New Roman" w:eastAsia="Times New Roman" w:cs="Times New Roman"/>
          <w:color w:val="000000"/>
          <w:sz w:val="21"/>
        </w:rPr>
        <w:t>School of Medicine, The Chinese University of Hong Kong, Shenzhen</w:t>
      </w:r>
    </w:p>
    <w:p>
      <w:pPr>
        <w:keepLines/>
      </w:pPr>
      <w:r>
        <w:rPr>
          <w:rFonts w:ascii="Times New Roman" w:hAnsi="Times New Roman" w:eastAsia="Times New Roman" w:cs="Times New Roman"/>
          <w:color w:val="000000"/>
          <w:sz w:val="21"/>
        </w:rPr>
        <w:t>MED Start-up Building, 2001 Longxiang Boulevard, Longgang District, Shenzhen 518172, China</w:t>
      </w:r>
    </w:p>
    <w:p>
      <w:pPr>
        <w:keepLines/>
      </w:pPr>
      <w:r>
        <w:rPr>
          <w:rFonts w:ascii="Times New Roman" w:hAnsi="Times New Roman" w:eastAsia="Times New Roman" w:cs="Times New Roman"/>
          <w:color w:val="000000"/>
          <w:sz w:val="21"/>
        </w:rPr>
        <w:t>Email: tengqi@link.cuhk.edu.cn</w:t>
      </w:r>
    </w:p>
    <w:p>
      <w:pPr>
        <w:keepLines/>
        <w:spacing w:before="80"/>
      </w:pPr>
      <w:r>
        <w:rPr>
          <w:rFonts w:ascii="Times New Roman" w:hAnsi="Times New Roman" w:eastAsia="Times New Roman" w:cs="Times New Roman"/>
          <w:color w:val="000000"/>
          <w:sz w:val="21"/>
        </w:rPr>
        <w:t>Dear Editors,</w:t>
      </w:r>
    </w:p>
    <w:p>
      <w:pPr>
        <w:keepLines/>
      </w:pPr>
      <w:r>
        <w:rPr>
          <w:rFonts w:ascii="Times New Roman" w:hAnsi="Times New Roman" w:eastAsia="Times New Roman" w:cs="Times New Roman"/>
          <w:color w:val="000000"/>
          <w:sz w:val="21"/>
        </w:rPr>
        <w:t>Please consider our Research Article, "Disease-blind single-cell reconstruction distinguishes unstable B-cell state assignments from reproducible interferon remodeling in systemic lupus erythematosus", for publication.</w:t>
      </w:r>
    </w:p>
    <w:p>
      <w:pPr>
        <w:keepLines/>
      </w:pPr>
      <w:r>
        <w:rPr>
          <w:rFonts w:ascii="Times New Roman" w:hAnsi="Times New Roman" w:eastAsia="Times New Roman" w:cs="Times New Roman"/>
          <w:color w:val="000000"/>
          <w:sz w:val="21"/>
        </w:rPr>
        <w:t>This study addresses a recurrent problem in disease single-cell genomics: cell identity, relative abundance and within-compartment transcription can be conflated when annotations are informed by outcomes or cells are treated as independent replicates. We reconstructed B-lineage identity without disease labels, retained biological samples or donors as the inferential units, and carried a prespecified transcriptional result into an independent SLE dataset.</w:t>
      </w:r>
    </w:p>
    <w:p>
      <w:pPr>
        <w:keepLines/>
      </w:pPr>
      <w:r>
        <w:rPr>
          <w:rFonts w:ascii="Times New Roman" w:hAnsi="Times New Roman" w:eastAsia="Times New Roman" w:cs="Times New Roman"/>
          <w:color w:val="000000"/>
          <w:sz w:val="21"/>
        </w:rPr>
        <w:t>The main contribution is an evidence hierarchy that separates unstable hard state assignments from a more reproducible process-level association. Fine naive-memory partitions were not stable enough for hard outcome inference. End-to-end reconstruction retained high global two-compartment concordance but missed the prespecified B_ASC overlap criterion; B_CONV and B_ASC are therefore presented as an analysis scaffold rather than a universally reproducible taxonomy. Propagating every observed broad-state boundary exchange preserved the primary antibody-secreting-cell composition null and both internal B_CONV IFN/ISG effects. The IFN/ISG program reproduced in the GSE174188 discovery contrast, a donor-nonoverlap internal contrast and source-label-defined independent GSE135779 childhood donors.</w:t>
      </w:r>
    </w:p>
    <w:p>
      <w:pPr>
        <w:keepLines/>
      </w:pPr>
      <w:r>
        <w:rPr>
          <w:rFonts w:ascii="Times New Roman" w:hAnsi="Times New Roman" w:eastAsia="Times New Roman" w:cs="Times New Roman"/>
          <w:color w:val="000000"/>
          <w:sz w:val="21"/>
        </w:rPr>
        <w:t>The manuscript also preserves two negative methodological boundaries. Repeated full-pipeline reconstruction did not satisfy the frozen two-compartment reproducibility contract and remains a permanent R1 HOLD. After normalization was corrected, source-label-independent external mapping did not meet its frozen reference-calibration criterion and remains a C9R HOLD; no corrected external disease outcome was estimated. Regulatory evidence from STAT1/STAT2 target activity, gene-set tests and IFN-response resources is reported as convergent but observational. We do not claim a discrete IFN-high subtype, universal plasmablast expansion, a causal regulator, direct transcription-factor binding, a unique upstream ligand or clinical utility.</w:t>
      </w:r>
    </w:p>
    <w:p>
      <w:pPr>
        <w:keepLines/>
      </w:pPr>
      <w:r>
        <w:rPr>
          <w:rFonts w:ascii="Times New Roman" w:hAnsi="Times New Roman" w:eastAsia="Times New Roman" w:cs="Times New Roman"/>
          <w:color w:val="000000"/>
          <w:sz w:val="21"/>
        </w:rPr>
        <w:t>All analysed datasets are public and cited by accession. The version-specific reproducibility archive is available at doi:10.5281/zenodo.22151739, with matching source code and integrity records at https://github.com/1209433622cz-maker/sle-bcell-remodeling. The submission materials comprise five vector main figures, ten supplementary figures, machine-readable figure source data, full statistical results and regulator-sensitivity records.</w:t>
      </w:r>
    </w:p>
    <w:p>
      <w:pPr>
        <w:keepLines/>
      </w:pPr>
      <w:r>
        <w:rPr>
          <w:rFonts w:ascii="Times New Roman" w:hAnsi="Times New Roman" w:eastAsia="Times New Roman" w:cs="Times New Roman"/>
          <w:color w:val="000000"/>
          <w:sz w:val="21"/>
        </w:rPr>
        <w:t>This manuscript is original and is not under consideration by another journal. The authors declare no competing interests and no specific funding. The study used only publicly available, de-identified data and involved no participant recruitment, intervention or new specimen collection. The manuscript discloses the authors' reviewed use of generative artificial intelligence assistance for code development, reproducibility checks, language editing and preparation of submission materials; the authors retain full responsibility for verification of the work.</w:t>
      </w:r>
    </w:p>
    <w:p>
      <w:pPr>
        <w:keepLines/>
        <w:spacing w:before="80"/>
      </w:pPr>
      <w:r>
        <w:rPr>
          <w:rFonts w:ascii="Times New Roman" w:hAnsi="Times New Roman" w:eastAsia="Times New Roman" w:cs="Times New Roman"/>
          <w:color w:val="000000"/>
          <w:sz w:val="21"/>
        </w:rPr>
        <w:t>Sincerely,</w:t>
      </w:r>
    </w:p>
    <w:p>
      <w:pPr>
        <w:keepLines/>
      </w:pPr>
      <w:r>
        <w:rPr>
          <w:rFonts w:ascii="Times New Roman" w:hAnsi="Times New Roman" w:eastAsia="Times New Roman" w:cs="Times New Roman"/>
          <w:color w:val="000000"/>
          <w:sz w:val="21"/>
        </w:rPr>
        <w:t>Teng Qi</w:t>
      </w:r>
    </w:p>
    <w:p>
      <w:pPr>
        <w:keepLines/>
      </w:pPr>
      <w:r>
        <w:rPr>
          <w:rFonts w:ascii="Times New Roman" w:hAnsi="Times New Roman" w:eastAsia="Times New Roman" w:cs="Times New Roman"/>
          <w:color w:val="000000"/>
          <w:sz w:val="21"/>
        </w:rPr>
        <w:t>Corresponding author</w:t>
      </w:r>
    </w:p>
    <w:p>
      <w:pPr>
        <w:keepLines/>
      </w:pPr>
      <w:r>
        <w:rPr>
          <w:rFonts w:ascii="Times New Roman" w:hAnsi="Times New Roman" w:eastAsia="Times New Roman" w:cs="Times New Roman"/>
          <w:color w:val="000000"/>
          <w:sz w:val="21"/>
        </w:rPr>
        <w:t>tengqi@link.cuhk.edu.cn</w:t>
      </w:r>
    </w:p>
    <w:sectPr w:rsidR="00FC693F" w:rsidRPr="0006063C" w:rsidSect="00034616">
      <w:footerReference w:type="default" r:id="rId9"/>
      <w:pgSz w:w="12240" w:h="15840"/>
      <w:pgMar w:top="1037" w:right="1267" w:bottom="979" w:left="126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i/>
        <w:color w:val="595959"/>
        <w:sz w:val="16"/>
      </w:rPr>
      <w:t>Journal-neutral draft | Target selection and exact-file author approval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110"/>
    </w:pPr>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Journal-neutral cover letter draft</dc:title>
  <dc:subject>SLE B-cell remodeling manuscript</dc:subject>
  <dc:creator>Zhi Chen and Teng Qi</dc:creator>
  <cp:keywords/>
  <dc:description>Not authorized for journal submission; adapt after target freeze and obtain exact-file approval.</dc:description>
  <cp:lastModifiedBy/>
  <cp:revision>1</cp:revision>
  <dcterms:created xsi:type="dcterms:W3CDTF">2013-12-23T23:15:00Z</dcterms:created>
  <dcterms:modified xsi:type="dcterms:W3CDTF">2013-12-23T23:15:00Z</dcterms:modified>
  <cp:category/>
</cp:coreProperties>
</file>