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biological-unit-aware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replication tests, and which remain cohort-specific, representation-dependent or mechanistically unproven.</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1a-d).</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S4).</w:t>
      </w:r>
    </w:p>
    <w:p>
      <w:pPr>
        <w:widowControl/>
      </w:pPr>
      <w:r>
        <w:rPr>
          <w:rFonts w:ascii="Times New Roman" w:hAnsi="Times New Roman" w:eastAsia="Times New Roman"/>
          <w:color w:val="1F1F1F"/>
          <w:sz w:val="24"/>
        </w:rPr>
        <w:t>Internal analyses did not convert this null result into a general composition claim. The internal replication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control and 46 source-defined managed-SLE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S5).</w:t>
      </w:r>
    </w:p>
    <w:p>
      <w:pPr>
        <w:widowControl/>
      </w:pPr>
      <w:r>
        <w:rPr>
          <w:rFonts w:ascii="Times New Roman" w:hAnsi="Times New Roman" w:eastAsia="Times New Roman"/>
          <w:color w:val="1F1F1F"/>
          <w:sz w:val="24"/>
        </w:rPr>
        <w:t>The same program was higher in the full internal GSE174188 replication contrast (effect 0.856; q=0.00462) and in the prespecified donor-nonoverlap subset (effect 1.086; q=3.61 x 10^-4). Because both analyses originate from the same accession, they provide internal replication rather than independent replication.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was multiplicity-supported in the internal replication analysis.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eligible cells in the source-label-defined broad-B analogue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S6).</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4c,d).</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Supplementary Fig. S10).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S7).</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(Supplementary Fig. S8).</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 (Fig. 5d,e).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support an IFN-centred regulatory context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replication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process-level interferon association within explicit identity and transfer limits.</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replication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replication.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source-defined managed SLE versus normal, adjusted for age and ethnicity. Internal processing-cohort-2 and secondary processing-cohort-3 analyses of the source-defined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[24,25]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replication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[26,27]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[28,29]. Expression rows for inhibitory targets were sign-reversed so that a positive set direction retained the signed-regulon interpretation. CAMERA [30] estimated inter-gene correlation from model residuals and performed a competitive rank test, whereas FRY [28,31] provided a fast self-contained approximation to the directional mroast/ROAST gene-set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[32]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[33].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[33].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Chen, Y., Lun, A. T. L. &amp; Smyth, G. K. From reads to genes to pathways: differential expression analysis of RNA-Seq experiments using Rsubread and the edgeR quasi-likelihood pipeline. F1000Res. </w:t>
      </w:r>
      <w:r>
        <w:rPr>
          <w:rFonts w:ascii="Times New Roman" w:hAnsi="Times New Roman" w:eastAsia="Times New Roman"/>
          <w:b/>
          <w:color w:val="1F1F1F"/>
          <w:sz w:val="24"/>
        </w:rPr>
        <w:t>5</w:t>
      </w:r>
      <w:r>
        <w:rPr>
          <w:rFonts w:ascii="Times New Roman" w:hAnsi="Times New Roman" w:eastAsia="Times New Roman"/>
          <w:color w:val="1F1F1F"/>
          <w:sz w:val="24"/>
        </w:rPr>
        <w:t>, 1438 (2016). https://doi.org/10.12688/f1000research.8987.2.</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(MSigDB)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pPr>
      <w:r>
        <w:rPr>
          <w:rFonts w:ascii="Times New Roman" w:hAnsi="Times New Roman" w:eastAsia="Times New Roman"/>
          <w:color w:val="1F1F1F"/>
          <w:sz w:val="24"/>
        </w:rPr>
        <w:t>Figure 1 | Disease-blind reconstruction defines a bounded analysis scaffold</w:t>
      </w:r>
    </w:p>
    <w:p>
      <w:pPr>
        <w:widowControl/>
      </w:pPr>
      <w:r>
        <w:rPr>
          <w:rFonts w:ascii="Times New Roman" w:hAnsi="Times New Roman" w:eastAsia="Times New Roman"/>
          <w:color w:val="1F1F1F"/>
          <w:sz w:val="24"/>
        </w:rPr>
        <w:t>a, Inference workflow and identity scope. Disease-blind identity stress tests defined B_CONV/B_ASC as an analysis scaffold. Disease fields were joined only after identity adjudication; B_ASC composition and B_CONV transcription were then analysed at the sample-cohort stratum. Hard fine-state assignments were not used for disease inference. b, Median mapped adjusted Rand index and minimum-to-median interval for candidate identity policies across 20 within-library resamples of the fixed 50-dimensional Harmony representation; the dashed segment marks the two-compartment minimum-ARI criterion of 0.90. c, Mapped adjusted Rand index and mapping agreement for each two-compartment resample; the dashed guide marks the 0.990 minimum-agreement criterion. d, Minimum and median state Jaccard indices for B_CONV and B_ASC with B_ASC marker support; the dashed guide marks the 0.95 state-median criterion. Panels b-d hold the representation fixed; end-to-end reconstruction is shown in Supplementary Fig. S9. Cell-level stability metrics are not disease replicates.</w:t>
      </w:r>
    </w:p>
    <w:p>
      <w:pPr>
        <w:pStyle w:val="Heading2"/>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Standardized GSE174188 discovery/internal effects beside source-label-defined GSE135779 effects. c, Effects for 4,410 genes tested in both primary datasets, highlighting the ten jointly tested IFN genes; all ten were positive despite genome-wide Spearman rho=0.026. d, Full childhood estimate, range across 43 donor deletions and estimates after omission of each of eight source B-cell labels. Display labels 1-8 map to the source codes in Figure 4 Source Data. Donors are the biological units; the adult estimate is directional only.</w:t>
      </w:r>
    </w:p>
    <w:p>
      <w:pPr>
        <w:pStyle w:val="Heading2"/>
      </w:pPr>
      <w:r>
        <w:rPr>
          <w:rFonts w:ascii="Times New Roman" w:hAnsi="Times New Roman" w:eastAsia="Times New Roman"/>
          <w:color w:val="1F1F1F"/>
          <w:sz w:val="24"/>
        </w:rPr>
        <w:t>Figure 5 | Convergent observational evidence supports an IFN-centred regulatory context</w:t>
      </w:r>
    </w:p>
    <w:p>
      <w:pPr>
        <w:widowControl/>
      </w:pPr>
      <w:r>
        <w:rPr>
          <w:rFonts w:ascii="Times New Roman" w:hAnsi="Times New Roman" w:eastAsia="Times New Roman"/>
          <w:color w:val="1F1F1F"/>
          <w:sz w:val="24"/>
        </w:rPr>
        <w:t>a, Evidence classes and interpretive roles for the replicated IFN/ISG program. ULM STAT1/STAT2 provides confirmatory observational evidence across three contrasts, M5911 provides response-set concordance and GSE23307 provides descriptive IFN-beta perturbational context. These layers show observational convergence but do not establish a causal regulator, direct binding or a unique upstream stimulus. b, Core STAT1/STAT2 and extended IRF7/IRF9 CollecTRI activity slopes in the GSE174188 primary, GSE174188 donor-nonoverlap and GSE135779 childhood contrasts. c, Prespecified E2F1, FOXM1, MYC and MYBL2 proliferation comparators; asterisks denote global 24-test q&lt;0.05. d, M5911 Hallmark interferon-alpha response normalized enrichment scores from 10,000 gene-label permutations per contrast. e, Paired log2(x+1) effects for the 12-gene IFN positive arm in two IFN-beta-exposed healthy donors; same-gene points are connected for display only, all 24 effects were positive and no inferential P value was calculated at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Nature/npj role-aware artwork typography micropass</dc:subject>
  <dc:creator>Zhi Chen; Teng Qi</dc:creator>
  <cp:keywords>SLE; B cells; single-cell RNA sequencing; interferon</cp:keywords>
  <dc:description>Scientific-presentation maintenance freeze; role-aware typography redrawn from frozen Source Data; removed 0 redundant table spacers before manual page breaks.</dc:description>
  <cp:lastModifiedBy/>
  <cp:revision>1</cp:revision>
  <dcterms:created xsi:type="dcterms:W3CDTF">2013-12-23T23:15:00Z</dcterms:created>
  <dcterms:modified xsi:type="dcterms:W3CDTF">2013-12-23T23:15:00Z</dcterms:modified>
  <cp:category/>
</cp:coreProperties>
</file>