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unstable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yet propagation of observed assignment exchanges preserved the primary composition null and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These results separate reproducible process-level interferon remodeling from less stable hard state assignments without establishing a universal B-cell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authoritative GSE174188 B-lineage source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w:t>
      </w:r>
    </w:p>
    <w:p>
      <w:pPr>
        <w:pStyle w:val="Heading2"/>
      </w:pPr>
      <w: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qualified before disease effects were estimated. The external identity scope was intentionally limited to a broad conventional-B analog assembled from source B-cell labels; hard naive/memory identities were not transferred. Statistical-engine behavior was qualified with count-conservation checks and synthetic null and signal data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external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not a new B-cell taxonomy but a difference in reproducibility across biological layers. Fine-grained B-cell state assignments did not satisfy the prespecified stability criteria, and even the broad B_CONV/B_ASC partition failed one state-specific end-to-end criterion because B_ASC membership was less reproducible than the global partition metrics suggested. Retaining that failure changed the interpretation of the study: B_CONV/B_ASC is used as an analysis scaffold, not as a transferable taxonomy. Within that bounded scaffold, assignment uncertainty did not alter the primary B_ASC composition null or the positive B_CONV IFN/ISG effects. The supported result is a process-level interferon association within these inferential limits; neither a disease-defining cell-state label nor generalized B_ASC expansion was established.</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null primary comparison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t>The independent, source-label-defined GSE135779 analysis strengthens that process-level interpretation while also defining its limits. The childhood cohort reproduced the frozen IFN/ISG program, donor-deletion and source-label-omission analyses retained the direction, and all ten jointly tested IFN genes were positive in both primary datasets. Yet the genome-wide effect correlation was only rho=0.026. These observations are not contradictory: a transcriptome-wide correlation asks whether thousands of gene effects agree across cohorts that differ in age structure, source annotation, processing, covariates and gene universe, whereas the program analysis asks whether a prespecified coherent biological response retains direction and statistical support. The data support the latter but do not establish the stronger claim of a globally shared disease transcriptome. Importantly, a corrected attempt to reconstruct the external mapping without source labels failed its prespecified B_ASC calibration criterion, and no corrected disease outcome was estimated. Independent replication therefore remains tied to the prespecified source-label-defined broad B-cell analog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primary composition null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validation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t>Source-label-defined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 assembled from eight source B-cell labels, without transferring hard naive/memory identities. Childhood, adult and combined model matrices and minimum-cell sensitivities were fixed before model fitting. Real matrices were first used only for dimension and count-conservation qualification, and synthetic null and signal data were used to qualify the statistical engine.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statistical-engine qualification.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the permissible identity scope</w:t>
      </w:r>
    </w:p>
    <w:p>
      <w:pPr>
        <w:widowControl/>
      </w:pPr>
      <w:r>
        <w:t>a, Study design and evidence hierarchy. GSE174188 B-lineage cells passed hard quality control before construction of a disease-blind B_CONV/B_ASC analysis scaffold and separation into B_ASC composition and B_CONV pseudobulk/program analyses. GSE174188 internal validation and GSE135779 source-label-defined independent replication are displayed in parallel, followed by three interpretation-only evidence classes. b, 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 c, Mapped adjusted Rand index and mapping agreement in each frozen-representation two-compartment graph resample; the dashed horizontal guide marks the minimum mapping-agreement criterion of 0.990. d, Minimum and median state Jaccard indices from the same frozen-representation analysis for B_CONV and B_ASC,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exactly 43 control and 47 managed-SLE sample-cohort strata in the primary composition contrast; diamonds and bars show adjusted fractions and 95% confidence intervals. b, Primary, internal, donor-nonoverlap and secondary flare conditional odds ratios. c, Frozen primary estimate and mandatory minimum-cell, explicit non-B and residual-doublet sensitivities. d, Conditional odds ratios after each of 90 primary sample deletions; the horizontal line is the full estimate. The flare contrast is secondary and did not pass the frozen three-contrast false-discovery-rate rule.</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frozen programs in the primary contrast. b, IFN/ISG estimates across primary support thresholds, residual-risk restriction, internal replication, donor-nonoverlap internal replication and the secondary flare contrast. c, 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confirmatory q values use the frozen four-program family.</w:t>
      </w:r>
    </w:p>
    <w:p>
      <w:pPr>
        <w:pStyle w:val="Heading2"/>
      </w:pPr>
      <w:r>
        <w:t>Figure 4 | GSE135779 provides source-label-defined replication of the frozen IFN/ISG program</w:t>
      </w:r>
    </w:p>
    <w:p>
      <w:pPr>
        <w:widowControl/>
      </w:pPr>
      <w:r>
        <w:t>a, Standardized IFN/ISG effects for childhood, combined, adult and support-threshold external analyses. b, Standardized discovery and internal GSE174188 effects beside source-label-defined independent GSE135779 effects. c, Effects for 4,410 genes tested in both primary datasets, with ten jointly tested frozen IFN genes highlighted; all ten were positive in both datasets despite Spearman rho=0.026 genome-wide. d, 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p>
      <w:pPr>
        <w:pStyle w:val="Heading2"/>
      </w:pPr>
      <w:r>
        <w:rPr>
          <w:rFonts w:ascii="Times New Roman" w:hAnsi="Times New Roman" w:eastAsia="Times New Roman"/>
          <w:color w:val="1F1F1F"/>
          <w:sz w:val="24"/>
        </w:rPr>
        <w:t>Figure 5 | Convergent observational evidence supports IFN-centred regulation</w:t>
      </w:r>
    </w:p>
    <w:p>
      <w:pPr>
        <w:widowControl/>
      </w:pPr>
      <w:r>
        <w:rPr>
          <w:rFonts w:ascii="Times New Roman" w:hAnsi="Times New Roman" w:eastAsia="Times New Roman"/>
          <w:color w:val="1F1F1F"/>
          <w:sz w:val="24"/>
        </w:rPr>
        <w:t>a, Three parallel interpretation branches for the replicated IFN/ISG program: same-data regulator robustness, curated M5911 response-set concordance and separate GSE23307 perturbational context. Equal branch weight does not imply causal ordering; the bottom boundary states that no causal regulator or unique upstream ligand is established. b, Core STAT1/STAT2 and extended IRF7/IRF9 CollecTRI activity slopes in the GSE174188 primary, GSE174188 donor-nonoverlap and GSE135779 childhood contrasts. c, Prespecified E2F1, FOXM1, MYC and MYBL2 proliferation specificity comparators. Asterisks indicate global 24-test q&lt;0.05. d, M5911 Hallmark interferon-alpha response normalized enrichment scores from 10,000 gene-label permutations per contrast. e, Mean paired log2(x+1) effects for the 12-gene IFN positive arm after ex vivo IFN-beta exposure in primary B cells from two healthy donors; labels show positive genes. The GSE23307 panel is descriptive at n=2 and carries no inferential P value.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unstable B-cell state assignments in systemic lupus erythematosus</dc:title>
  <dc:subject>Article for npj Systems Biology and Applications</dc:subject>
  <dc:creator>Zhi Chen; Teng Qi</dc:creator>
  <cp:keywords>SLE; B cells; single-cell RNA sequencing; interferon</cp:keywords>
  <dc:description>Generated reproducibly from the npj SBA target-refrozen Markdown source.</dc:description>
  <cp:lastModifiedBy/>
  <cp:revision>1</cp:revision>
  <dcterms:created xsi:type="dcterms:W3CDTF">2013-12-23T23:15:00Z</dcterms:created>
  <dcterms:modified xsi:type="dcterms:W3CDTF">2013-12-23T23:15:00Z</dcterms:modified>
  <cp:category/>
</cp:coreProperties>
</file>