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unstable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donor-aware inference. Among 150,402 discovery B-lineage cells, end-to-end resampling failed a prespecified antibody-secreting-cell overlap criterion, restricting broad B-cell compartments to an analysis scaffold, yet propagation of observed assignment exchanges preserved the primary composition null and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These results separate reproducible process-level interferon remodeling from less stable hard state assignments without establishing a universal B-cell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validation, and which remain cohort-specific, representation-dependent or mechanistically unproven.</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authoritative GSE174188 B-lineage source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A median of 76 of 120,320 sampled cells exchanged broad-state assignment per replicate (Supplementary Fig. S9).</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w:t>
      </w:r>
    </w:p>
    <w:p>
      <w:pPr>
        <w:widowControl/>
      </w:pPr>
      <w:r>
        <w:rPr>
          <w:rFonts w:ascii="Times New Roman" w:hAnsi="Times New Roman" w:eastAsia="Times New Roman"/>
          <w:color w:val="1F1F1F"/>
          <w:sz w:val="24"/>
        </w:rPr>
        <w:t>Internal analyses did not convert this null result into a general composition claim. The internal validation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reference and 46 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w:t>
      </w:r>
    </w:p>
    <w:p>
      <w:pPr>
        <w:widowControl/>
      </w:pPr>
      <w:r>
        <w:rPr>
          <w:rFonts w:ascii="Times New Roman" w:hAnsi="Times New Roman" w:eastAsia="Times New Roman"/>
          <w:color w:val="1F1F1F"/>
          <w:sz w:val="24"/>
        </w:rPr>
        <w:t>The same program was higher in the full internal GSE174188 validation contrast (effect 0.856; q=0.00462) and in the prespecified donor-nonoverlap subset (effect 1.086; q=3.61 x 10^-4). Because both analyses originate from the same accession, they are internal replication rather than independent validation.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retained multiplicity-supported internal validation. The atypical/low-naive program was null in the primary contrast (effect -0.057; q=0.748). These results leave IFN/ISG as the only program with consistent support across the prespecified discovery and internal robustness sequence.</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qualified before disease effects were estimated. The external identity scope was intentionally limited to a broad conventional-B analog assembled from source B-cell labels; hard naive/memory identities were not transferred. Statistical-engine behavior was qualified with count-conservation checks and synthetic null and signal data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mapped cells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external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(Supplementary Table S9 and Fig. S10).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In GSE23307 primary B cells exposed ex vivo to IFN-beta, all 12 genes in the frozen positive arm increased in each of two healthy donors, with mean paired log2(x+1) effects of 3.294 and 3.666. No inferential P value was calculated at n=2.</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not a new B-cell taxonomy but a difference in reproducibility across biological layers. Fine-grained B-cell state assignments did not satisfy the prespecified stability criteria, and even the broad B_CONV/B_ASC partition failed one state-specific end-to-end criterion because B_ASC membership was less reproducible than the global partition metrics suggested. Retaining that failure changed the interpretation of the study: B_CONV/B_ASC is used as an analysis scaffold, not as a transferable taxonomy. Within that bounded scaffold, assignment uncertainty did not alter the primary B_ASC composition null or the positive B_CONV IFN/ISG effects. The supported result is a process-level interferon association within these inferential limits; neither a disease-defining cell-state label nor generalized B_ASC expansion was established.</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null primary comparison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cohort reproduced the frozen IFN/ISG program, donor-deletion and source-label-omission analyses retained the direction, and all ten jointly tested IFN genes were positive in both primary datasets. Yet the genome-wide effect correlation was only rho=0.026. These observations are not contradictory: a transcriptome-wide correlation asks whether thousands of gene effects agree across cohorts that differ in age structure, source annotation, processing, covariates and gene universe, whereas the program analysis asks whether a prespecified coherent biological response retains direction and statistical support. The data support the latter but do not establish the stronger claim of a globally shared disease transcriptome. Importantly, a corrected attempt to reconstruct the external mapping without source labels failed its prespecified B_ASC calibration criterion, and no corrected disease outcome was estimated. Independent replication therefore remains tied to the prespecified source-label-defined broad B-cell analog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justify an IFN-centred regulatory interpretation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primary composition null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validation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interferon association, not a universal B-cell taxonomy, generalized B_ASC expansion, causal regulator, unique upstream stimulus or established clinical utility.</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validation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validation.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source-metadata managed SLE versus normal, adjusted for age and ethnicity. Internal processing-cohort-2 and secondary processing-cohort-3 analyses of the source-metadata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rPr>
          <w:rFonts w:ascii="Times New Roman" w:hAnsi="Times New Roman" w:eastAsia="Times New Roman"/>
          <w:color w:val="1F1F1F"/>
          <w:sz w:val="24"/>
        </w:rPr>
        <w:t>Source-label-defined GSE135779 validation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 assembled from eight source B-cell labels, without transferring hard naive/memory identities. Childhood, adult and combined model matrices and minimum-cell sensitivities were fixed before model fitting. Real matrices were first used only for dimension and count-conservation qualification, and synthetic null and signal data were used to qualify the statistical engine.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[25,26]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[27,28]. Expression rows for inhibitory targets were sign-reversed so that a positive set direction retained the signed-regulon interpretation. CAMERA [29] estimated inter-gene correlation from model residuals and performed a competitive rank test, whereas FRY [30] provided a rotation-based directional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[31]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Disease effects were estimated only after input, design and statistical-engine qualification. Superseded manuscripts and figures were retained for provenance but were not used as numerical sources for the present version.</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[32].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[32].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pPr>
      <w:r>
        <w:rPr>
          <w:rFonts w:ascii="Times New Roman" w:hAnsi="Times New Roman" w:eastAsia="Times New Roman"/>
          <w:color w:val="1F1F1F"/>
          <w:sz w:val="24"/>
        </w:rPr>
        <w:t>Figure 1 | Disease-blind reconstruction defines the permissible identity scope</w:t>
      </w:r>
    </w:p>
    <w:p>
      <w:pPr>
        <w:widowControl/>
      </w:pPr>
      <w:r>
        <w:rPr>
          <w:rFonts w:ascii="Times New Roman" w:hAnsi="Times New Roman" w:eastAsia="Times New Roman"/>
          <w:color w:val="1F1F1F"/>
          <w:sz w:val="24"/>
        </w:rPr>
        <w:t>a, Study design and evidence hierarchy. GSE174188 B-lineage cells passed hard quality control before construction of a disease-blind B_CONV/B_ASC analysis scaffold and separation into B_ASC composition and B_CONV pseudobulk/program analyses. GSE174188 internal validation and GSE135779 source-label-defined independent replication are displayed in parallel, followed by three interpretation-only evidence classes. b, Median mapped adjusted Rand index and minimum-to-median interval for each candidate identity policy across 20 within-library resamples of the frozen 50-dimensional Harmony representation; policies are discrete alternatives and are not connected as a trajectory. The short dashed segment applies only to the two-compartment minimum-ARI criterion of 0.90. c, Mapped adjusted Rand index and mapping agreement in each frozen-representation two-compartment graph resample; the dashed horizontal guide marks the minimum mapping-agreement criterion of 0.990. d, Minimum and median state Jaccard indices from the same frozen-representation analysis for B_CONV and B_ASC, with antibody-secreting marker support; the dashed vertical guide marks the minimum state-median Jaccard criterion of 0.95. Panels b-d do not recompute highly variable genes, principal components or Harmony; the end-to-end sensitivity is reported in Supplementary Fig. S9. Cell-level summaries define assignment stability and are not disease replicates.</w:t>
      </w:r>
    </w:p>
    <w:p>
      <w:pPr>
        <w:pStyle w:val="Heading2"/>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exactly 43 control and 47 managed-SLE sample-cohort strata in the primary composition contrast; diamonds and bars show adjusted fractions and 95% confidence intervals. b, Primary, internal, donor-nonoverlap and secondary flare conditional odds ratios. c, Frozen primary estimate and mandatory minimum-cell, explicit non-B and residual-doublet sensitivities. d, Conditional odds ratios after each of 90 primary sample deletions; the horizontal line is the full estimate. The flare contrast is secondary and did not pass the frozen three-contrast false-discovery-rate rule.</w:t>
      </w:r>
    </w:p>
    <w:p>
      <w:pPr>
        <w:pStyle w:val="Heading2"/>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frozen programs in the primary contrast. b, IFN/ISG estimates across primary support thresholds, residual-risk restriction, internal replication, donor-nonoverlap internal replication and the secondary flare contrast. c, Gene-level log2 fold changes for the frozen IFN positive arm in the primary and donor-nonoverlap contrasts. A dagger marks genes not tested at gene level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confirmatory q values use the frozen four-program family.</w:t>
      </w:r>
    </w:p>
    <w:p>
      <w:pPr>
        <w:pStyle w:val="Heading2"/>
      </w:pPr>
      <w:r>
        <w:rPr>
          <w:rFonts w:ascii="Times New Roman" w:hAnsi="Times New Roman" w:eastAsia="Times New Roman"/>
          <w:color w:val="1F1F1F"/>
          <w:sz w:val="24"/>
        </w:rPr>
        <w:t>Figure 4 | GSE135779 provides source-label-defined replication of the frozen IFN/ISG program</w:t>
      </w:r>
    </w:p>
    <w:p>
      <w:pPr>
        <w:widowControl/>
      </w:pPr>
      <w:r>
        <w:rPr>
          <w:rFonts w:ascii="Times New Roman" w:hAnsi="Times New Roman" w:eastAsia="Times New Roman"/>
          <w:color w:val="1F1F1F"/>
          <w:sz w:val="24"/>
        </w:rPr>
        <w:t>a, Standardized IFN/ISG effects for childhood, combined, adult and support-threshold external analyses. b, Standardized discovery and internal GSE174188 effects beside source-label-defined independent GSE135779 effects. c, Effects for 4,410 genes tested in both primary datasets, with ten jointly tested frozen IFN genes highlighted; all ten were positive in both datasets despite Spearman rho=0.026 genome-wide. d, Full childhood estimate, range across 43 donor deletions and estimates after omission of each of eight source B-cell labels. Sequential display labels 1-8 correspond to the original source codes retained in Figure 4 Source Data. Donors are the biological units in GSE135779; the adult estimate is directional only.</w:t>
      </w:r>
    </w:p>
    <w:p>
      <w:pPr>
        <w:pStyle w:val="Heading2"/>
      </w:pPr>
      <w:r>
        <w:rPr>
          <w:rFonts w:ascii="Times New Roman" w:hAnsi="Times New Roman" w:eastAsia="Times New Roman"/>
          <w:color w:val="1F1F1F"/>
          <w:sz w:val="24"/>
        </w:rPr>
        <w:t>Figure 5 | Convergent observational evidence supports IFN-centred regulation</w:t>
      </w:r>
    </w:p>
    <w:p>
      <w:pPr>
        <w:widowControl/>
      </w:pPr>
      <w:r>
        <w:rPr>
          <w:rFonts w:ascii="Times New Roman" w:hAnsi="Times New Roman" w:eastAsia="Times New Roman"/>
          <w:color w:val="1F1F1F"/>
          <w:sz w:val="24"/>
        </w:rPr>
        <w:t>a, Three parallel interpretation branches for the replicated IFN/ISG program: same-data regulator robustness, curated M5911 response-set concordance and separate GSE23307 perturbational context. Equal branch weight does not imply causal ordering; the bottom boundary states that no causal regulator or unique upstream ligand is established. b, Core STAT1/STAT2 and extended IRF7/IRF9 CollecTRI activity slopes in the GSE174188 primary, GSE174188 donor-nonoverlap and GSE135779 childhood contrasts. c, Prespecified E2F1, FOXM1, MYC and MYBL2 proliferation specificity comparators. Asterisks indicate global 24-test q&lt;0.05. d, M5911 Hallmark interferon-alpha response normalized enrichment scores from 10,000 gene-label permutations per contrast. e, Mean paired log2(x+1) effects for the 12-gene IFN positive arm after ex vivo IFN-beta exposure in primary B cells from two healthy donors; labels show positive genes. The GSE23307 panel is descriptive at n=2 and carries no inferential P value.</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unstable B-cell state assignments in systemic lupus erythematosus</dc:title>
  <dc:subject>Article for npj Systems Biology and Applications</dc:subject>
  <dc:creator>Zhi Chen; Teng Qi</dc:creator>
  <cp:keywords>SLE; B cells; single-cell RNA sequencing; interferon</cp:keywords>
  <dc:description>Generated reproducibly from the npj SBA final-hardened Markdown source.</dc:description>
  <cp:lastModifiedBy/>
  <cp:revision>1</cp:revision>
  <dcterms:created xsi:type="dcterms:W3CDTF">2013-12-23T23:15:00Z</dcterms:created>
  <dcterms:modified xsi:type="dcterms:W3CDTF">2013-12-23T23:15:00Z</dcterms:modified>
  <cp:category/>
</cp:coreProperties>
</file>