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Regulator-sensitivity summaries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b,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Selected 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in the 43-control/47-managed-SLE primary comparison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Source-label-defined GSE135779 replication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91"/>
        <w:gridCol w:w="2042"/>
        <w:gridCol w:w="1804"/>
        <w:gridCol w:w="1498"/>
        <w:gridCol w:w="1668"/>
        <w:gridCol w:w="1157"/>
      </w:tblGrid>
      <w:tr>
        <w:trPr>
          <w:cantSplit/>
          <w:tblHeader w:val="true"/>
        </w:trPr>
        <w:tc>
          <w:tcPr>
            <w:tcW w:type="dxa" w:w="119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204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804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49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6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15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source-label-defined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Fine-state failure and transition structure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localize instability to fine-state membership across the five-, four- and three-state policies considered before broad adjudication.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 across frozen-representation resamples. These diagnostics explain the transition to the broad B_CONV/B_ASC analysis scaffold; broad-state pass criteria are shown in Fig. 1 and end-to-end reconstruction is shown in Supplementary Fig. S9.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7205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fine_state_failure_transition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IFN/ISG estimates across the frozen GSE174188 branches are owned by Fig. 3b and are not repeated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1835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ranked_list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GSE135779 replication and robustness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replication_robustness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Supplementary Table S4 reader-path micropass</dc:subject>
  <dc:creator>Zhi Chen; Teng Qi</dc:creator>
  <cp:keywords>SLE; B cells; single-cell RNA sequencing; interferon</cp:keywords>
  <dc:description>Scientific-presentation maintenance freeze; S4/S4B reader numbering repaired without scientific-value changes; removed 1 redundant table spacers and 1 renderer-divergent S8 page break.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