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/>
          <w:color w:val="1F1F1F"/>
          <w:sz w:val="32"/>
        </w:rPr>
        <w:t>Supplementary information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Disease-blind reconstruction distinguishes reproducible interferon remodeling from less stable B-cell state assignments in systemic lupus erythematosus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Authors:</w:t>
      </w:r>
      <w:r>
        <w:rPr>
          <w:rFonts w:ascii="Times New Roman" w:hAnsi="Times New Roman" w:eastAsia="Times New Roman"/>
          <w:color w:val="1F1F1F"/>
          <w:sz w:val="21"/>
        </w:rPr>
        <w:t xml:space="preserve"> Zhi Chen and Teng Qi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overview</w:t>
      </w: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This single Supplementary Information file contains Tables S1-S9 and Figures S1-S10 supporting the main Article. All analytical methods required to interpret the work are reported in the main manuscript. Machine-readable figure source data, regulator sensitivity results and complete statistical outputs are supplied separately as Supplementary Data 1-3. Original external-mapping sensitivity outcomes are superseded, and no corrected disease effect was estimated after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S1 | Dataset roles and inferential units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600"/>
        <w:gridCol w:w="1700"/>
        <w:gridCol w:w="2100"/>
        <w:gridCol w:w="3960"/>
      </w:tblGrid>
      <w:tr>
        <w:trPr>
          <w:cantSplit/>
          <w:tblHeader w:val="true"/>
        </w:trPr>
        <w:tc>
          <w:tcPr>
            <w:tcW w:type="dxa" w:w="16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Resource</w:t>
            </w:r>
          </w:p>
        </w:tc>
        <w:tc>
          <w:tcPr>
            <w:tcW w:type="dxa" w:w="17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Role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Biological unit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Active scope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and internal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Sample-cohort stratum; donor sensitivities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scaffold, composition and B_CONV transcription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Independent SLE replication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conventional-B analogue; childhood primary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CollecTRI/OmniPath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Curated regulator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eight-regulator, three-contrast family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MSigDB M5911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response prior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Ranked genes within contrast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Hallmark interferon-alpha response enrichment</w:t>
            </w:r>
          </w:p>
        </w:tc>
      </w:tr>
      <w:tr>
        <w:trPr>
          <w:cantSplit/>
        </w:trPr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Orthogonal perturbation support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Paired profile within donor</w:t>
            </w:r>
          </w:p>
        </w:tc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Descriptive IFN-beta response, n=2 donors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S2 | Claim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rPr>
          <w:cantSplit/>
          <w:tblHeader w:val="true"/>
        </w:trPr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Supported</w:t>
            </w:r>
          </w:p>
        </w:tc>
        <w:tc>
          <w:tcPr>
            <w:tcW w:type="dxa" w:w="468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Not supported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B_CONV/B_ASC analysis scaffold with quantified boundary sensitivity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Universally reproducible B_CONV/B_ASC taxonomy or stable hard naive, memory or atypical subtypes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contrast lacks statistical support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General B_ASC expansion in SLE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Replicated IFN/ISG remodeling within B_CONV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Genome-wide shared disease transcriptome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 STAT1/STAT2 activity concordant across three contrasts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Causal TF activation or direct binding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IFN-centred response evidence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 unique initiating IFN ligand in SLE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S3 | Quantitative anchors and prespecified boundaries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570"/>
        <w:gridCol w:w="5790"/>
      </w:tblGrid>
      <w:tr>
        <w:trPr>
          <w:cantSplit/>
          <w:tblHeader w:val="true"/>
        </w:trPr>
        <w:tc>
          <w:tcPr>
            <w:tcW w:type="dxa" w:w="357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Analysis</w:t>
            </w:r>
          </w:p>
        </w:tc>
        <w:tc>
          <w:tcPr>
            <w:tcW w:type="dxa" w:w="579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Result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Frozen-representation identity policy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mapped ARI 0.990; minimum agreement 0.9998; minimum state-median Jaccard 0.991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sensitivity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prespecified criterion not met; minimum mapped ARI 0.930; minimum agreement 0.9988; B_ASC median Jaccard 0.930 below 0.95 criterion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Boundary propagation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odds-ratio range 0.896-0.967, all intervals include one; primary B_CONV IFN/ISG range 0.836-0.845, all intervals above zero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B_ASC composition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43 controls and 47 source-defined managed SLE; odds ratio 0.947; 95% CI 0.636-1.410; P=0.787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primary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0.837; 95% CI 0.525-1.148;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GSE174188 donor-nonoverlap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1.086; q=3.61 x 10^-4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GSE135779 childhood IFN/ISG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effect 1.042; 95% CI 0.681-1.402; q=2.98 x 10^-6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Cross-dataset genome-wide agreement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4,410 genes; Spearman rho=0.026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 enrichment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NES 3.187, 3.050 and 3.527</w:t>
            </w:r>
          </w:p>
        </w:tc>
      </w:tr>
      <w:tr>
        <w:trPr>
          <w:cantSplit/>
        </w:trPr>
        <w:tc>
          <w:tcPr>
            <w:tcW w:type="dxa" w:w="357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GSE23307 perturbation</w:t>
            </w:r>
          </w:p>
        </w:tc>
        <w:tc>
          <w:tcPr>
            <w:tcW w:type="dxa" w:w="57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donor effects 3.294 and 3.666; 12/12 genes positive in each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S4 | Regulator-sensitivity summaries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 Correlation-aware core-regulator sensitivity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400"/>
        <w:gridCol w:w="1100"/>
        <w:gridCol w:w="1350"/>
        <w:gridCol w:w="2100"/>
        <w:gridCol w:w="1250"/>
        <w:gridCol w:w="1160"/>
      </w:tblGrid>
      <w:tr>
        <w:trPr>
          <w:cantSplit/>
          <w:tblHeader w:val="true"/>
        </w:trPr>
        <w:tc>
          <w:tcPr>
            <w:tcW w:type="dxa" w:w="2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Contrast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Regulator</w:t>
            </w:r>
          </w:p>
        </w:tc>
        <w:tc>
          <w:tcPr>
            <w:tcW w:type="dxa" w:w="1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Matched targets</w:t>
            </w:r>
          </w:p>
        </w:tc>
        <w:tc>
          <w:tcPr>
            <w:tcW w:type="dxa" w:w="21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Inter-gene correlation</w:t>
            </w:r>
          </w:p>
        </w:tc>
        <w:tc>
          <w:tcPr>
            <w:tcW w:type="dxa" w:w="12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CAMERA BH q</w:t>
            </w:r>
          </w:p>
        </w:tc>
        <w:tc>
          <w:tcPr>
            <w:tcW w:type="dxa" w:w="11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FRY BH q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98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0.0362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6.043e-06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primary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14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0.1225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0.1355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4.909e-05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129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0.0209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8.49e-06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GSE174188 donor-nonoverlap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19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0.1191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4.277e-07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161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0.0301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0.0263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2.685e-05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GSE135779 childhood</w:t>
            </w:r>
          </w:p>
        </w:tc>
        <w:tc>
          <w:tcPr>
            <w:tcW w:type="dxa" w:w="1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STAT2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20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0.1223</w:t>
            </w:r>
          </w:p>
        </w:tc>
        <w:tc>
          <w:tcPr>
            <w:tcW w:type="dxa" w:w="12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0.03026</w:t>
            </w:r>
          </w:p>
        </w:tc>
        <w:tc>
          <w:tcPr>
            <w:tcW w:type="dxa" w:w="11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1.231e-05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CAMERA and FRY directions were positive in all six tests. CAMERA passed BH correction in five of six; the explicit exception was GSE174188 primary STAT2 (q=0.1355). FRY passed BH correction in all six.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b, IFN-overlap-depletion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000"/>
        <w:gridCol w:w="1300"/>
        <w:gridCol w:w="1200"/>
        <w:gridCol w:w="1400"/>
        <w:gridCol w:w="3460"/>
      </w:tblGrid>
      <w:tr>
        <w:trPr>
          <w:cantSplit/>
          <w:tblHeader w:val="true"/>
        </w:trPr>
        <w:tc>
          <w:tcPr>
            <w:tcW w:type="dxa" w:w="20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Depletion</w:t>
            </w:r>
          </w:p>
        </w:tc>
        <w:tc>
          <w:tcPr>
            <w:tcW w:type="dxa" w:w="13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Method</w:t>
            </w:r>
          </w:p>
        </w:tc>
        <w:tc>
          <w:tcPr>
            <w:tcW w:type="dxa" w:w="12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Positive direction</w:t>
            </w:r>
          </w:p>
        </w:tc>
        <w:tc>
          <w:tcPr>
            <w:tcW w:type="dxa" w:w="1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Dedicated q&lt;0.05</w:t>
            </w:r>
          </w:p>
        </w:tc>
        <w:tc>
          <w:tcPr>
            <w:tcW w:type="dxa" w:w="34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Main qualification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Minimum slope retention 53.5%; all 95% confidence intervals above zero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q=0.326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12-gene IFN/ISG arm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Direction and corrected support retained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retained 8/14 targets; slope 0.391, 95% CI -0.745 to 1.526; q=0.500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CAMERA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Broad attenuation across contrasts; discovery STAT2 q=0.623</w:t>
            </w:r>
          </w:p>
        </w:tc>
      </w:tr>
      <w:tr>
        <w:trPr>
          <w:cantSplit/>
        </w:trPr>
        <w:tc>
          <w:tcPr>
            <w:tcW w:type="dxa" w:w="20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M5911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6/6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5/6</w:t>
            </w:r>
          </w:p>
        </w:tc>
        <w:tc>
          <w:tcPr>
            <w:tcW w:type="dxa" w:w="34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Discovery STAT2 q=0.099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All 11 depleted ULM models retaining at least ten targets preserved direction in every leave-one-target analysis. These sensitivities support robustness beyond the narrow 12-gene arm but not independence from the broader interferon-response transcriptome.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S5 | Selected figure source-data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12"/>
        <w:gridCol w:w="4529"/>
        <w:gridCol w:w="3019"/>
      </w:tblGrid>
      <w:tr>
        <w:trPr>
          <w:cantSplit/>
          <w:tblHeader w:val="true"/>
        </w:trPr>
        <w:tc>
          <w:tcPr>
            <w:tcW w:type="dxa" w:w="181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Figure</w:t>
            </w:r>
          </w:p>
        </w:tc>
        <w:tc>
          <w:tcPr>
            <w:tcW w:type="dxa" w:w="452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Evidence basis</w:t>
            </w:r>
          </w:p>
        </w:tc>
        <w:tc>
          <w:tcPr>
            <w:tcW w:type="dxa" w:w="3019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Machine-readable source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1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Disease-blind identity stability and two-compartment adjudication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Figure1_source_data.csv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2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Sample-level composition in the 43-control/47-managed-SLE primary comparison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Figure2_source_data.csv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3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Raw-count pseudobulk transcription with explicit tested-gene symbols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Figure3_source_data.csv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Source-label-defined GSE135779 replication and influence analyses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 5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 and orthogonal response evidence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Figure5_source_data.csv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S4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boundary and downstream propagation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Supplementary_Figure_S4_source_data.csv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S8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reference calibration and unresolved external transfer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Supplementary_Figure_S8_source_data.csv</w:t>
            </w:r>
          </w:p>
        </w:tc>
      </w:tr>
      <w:tr>
        <w:trPr>
          <w:cantSplit/>
        </w:trPr>
        <w:tc>
          <w:tcPr>
            <w:tcW w:type="dxa" w:w="181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Figure S10</w:t>
            </w:r>
          </w:p>
        </w:tc>
        <w:tc>
          <w:tcPr>
            <w:tcW w:type="dxa" w:w="452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STAT1/STAT2 IFN-overlap-depletion sensitivity</w:t>
            </w:r>
          </w:p>
        </w:tc>
        <w:tc>
          <w:tcPr>
            <w:tcW w:type="dxa" w:w="3019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Supplementary_Figure_S10_source_data.csv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S6 | Reproducibility record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960"/>
        <w:gridCol w:w="5400"/>
      </w:tblGrid>
      <w:tr>
        <w:trPr>
          <w:cantSplit/>
          <w:tblHeader w:val="true"/>
        </w:trPr>
        <w:tc>
          <w:tcPr>
            <w:tcW w:type="dxa" w:w="396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54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Reader-accessible record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Main and supplementary figure data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1 with SHA-256 manifest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statistical results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3 with 12 gene-level branches and 12 sanitized design matrices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Correlation-aware sensitivity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Supplementary Data 2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End-to-end identity and boundary propagation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Supplementary Data 3,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identity_robustness/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Analysis code and decisions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color w:val="1F1F1F"/>
                <w:sz w:val="18"/>
              </w:rPr>
              <w:t>https://github.com/1209433622cz-maker/sle-bcell-remodeling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Environment reconstruction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 xml:space="preserve">Pinned scientific and release environments documented in </w:t>
            </w:r>
            <w:r>
              <w:rPr>
                <w:rFonts w:ascii="Courier New" w:hAnsi="Courier New" w:eastAsia="Courier New"/>
                <w:color w:val="1F1F1F"/>
                <w:sz w:val="18"/>
              </w:rPr>
              <w:t>REPRODUCIBILITY.md</w:t>
            </w:r>
          </w:p>
        </w:tc>
      </w:tr>
      <w:tr>
        <w:trPr>
          <w:cantSplit/>
        </w:trPr>
        <w:tc>
          <w:tcPr>
            <w:tcW w:type="dxa" w:w="396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Version-specific archive</w:t>
            </w:r>
          </w:p>
        </w:tc>
        <w:tc>
          <w:tcPr>
            <w:tcW w:type="dxa" w:w="54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Zenodo https://doi.org/10.5281/zenodo.22151739; version-specific archive of the released analysis code, Source Data and statistical outputs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S7 | Statistical tests and multiplicity families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191"/>
        <w:gridCol w:w="2042"/>
        <w:gridCol w:w="1804"/>
        <w:gridCol w:w="1498"/>
        <w:gridCol w:w="1668"/>
        <w:gridCol w:w="1157"/>
      </w:tblGrid>
      <w:tr>
        <w:trPr>
          <w:cantSplit/>
          <w:tblHeader w:val="true"/>
        </w:trPr>
        <w:tc>
          <w:tcPr>
            <w:tcW w:type="dxa" w:w="1191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Result family</w:t>
            </w:r>
          </w:p>
        </w:tc>
        <w:tc>
          <w:tcPr>
            <w:tcW w:type="dxa" w:w="2042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Biological unit</w:t>
            </w:r>
          </w:p>
        </w:tc>
        <w:tc>
          <w:tcPr>
            <w:tcW w:type="dxa" w:w="1804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Test or estimator</w:t>
            </w:r>
          </w:p>
        </w:tc>
        <w:tc>
          <w:tcPr>
            <w:tcW w:type="dxa" w:w="149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Sidedness</w:t>
            </w:r>
          </w:p>
        </w:tc>
        <w:tc>
          <w:tcPr>
            <w:tcW w:type="dxa" w:w="1668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Multiplicity</w:t>
            </w:r>
          </w:p>
        </w:tc>
        <w:tc>
          <w:tcPr>
            <w:tcW w:type="dxa" w:w="115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7"/>
              </w:rPr>
              <w:t>Role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B_ASC composition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Beta-binomial Wald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three frozen base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Primary composition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expression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edgeR robust quasi-likelihood F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within tested genes per contrast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Gene-level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Four frozen programs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pseudobulk (GSE174188); donor pseudobulk (GSE135779)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OLS with HC3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BH across four programs per analysis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Program inference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TF-target activity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Signed-target slope t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Global BH across 24 tests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Confirmatory regulatory evidence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sensitivity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families of six per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Correlation-aware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STAT1/STAT2 overlap depletion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 and pseudobulk counts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ULM, CAMERA and FRY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ULM; positive-direction CAMERA/FRY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Separate BH family of six per branch and method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Post-freeze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End-to-end identity reproducibility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Cell resample within technical library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ARI, AMI, mapping agreement, state Jaccard and recall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Five unchanged threshold criteria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Disease-blind robustness boundary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Broad-state boundary propagation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Sample-cohort stratum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Frozen beta-binomial and TMM logCPM/HC3 models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Two-sided intervals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 new multiplicity family; same-data sensitivity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Assignment-uncertainty sensitivity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M5911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Ranked gene statistics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10,000-permutation preranked test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Positive-direction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BH across three contrasts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Orthogonal support</w:t>
            </w:r>
          </w:p>
        </w:tc>
      </w:tr>
      <w:tr>
        <w:trPr>
          <w:cantSplit/>
        </w:trPr>
        <w:tc>
          <w:tcPr>
            <w:tcW w:type="dxa" w:w="1191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GSE23307</w:t>
            </w:r>
          </w:p>
        </w:tc>
        <w:tc>
          <w:tcPr>
            <w:tcW w:type="dxa" w:w="2042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Paired donor</w:t>
            </w:r>
          </w:p>
        </w:tc>
        <w:tc>
          <w:tcPr>
            <w:tcW w:type="dxa" w:w="18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Mean paired log2(x+1) effect</w:t>
            </w:r>
          </w:p>
        </w:tc>
        <w:tc>
          <w:tcPr>
            <w:tcW w:type="dxa" w:w="149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Not tested</w:t>
            </w:r>
          </w:p>
        </w:tc>
        <w:tc>
          <w:tcPr>
            <w:tcW w:type="dxa" w:w="16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None; n=2</w:t>
            </w:r>
          </w:p>
        </w:tc>
        <w:tc>
          <w:tcPr>
            <w:tcW w:type="dxa" w:w="115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7"/>
              </w:rPr>
              <w:t>Descriptive perturbation</w:t>
            </w:r>
          </w:p>
        </w:tc>
      </w:tr>
    </w:tbl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S8 | Full statistical-results archive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350"/>
        <w:gridCol w:w="4900"/>
        <w:gridCol w:w="1110"/>
      </w:tblGrid>
      <w:tr>
        <w:trPr>
          <w:cantSplit/>
          <w:tblHeader w:val="true"/>
        </w:trPr>
        <w:tc>
          <w:tcPr>
            <w:tcW w:type="dxa" w:w="335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Directory</w:t>
            </w:r>
          </w:p>
        </w:tc>
        <w:tc>
          <w:tcPr>
            <w:tcW w:type="dxa" w:w="490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Contents</w:t>
            </w:r>
          </w:p>
        </w:tc>
        <w:tc>
          <w:tcPr>
            <w:tcW w:type="dxa" w:w="1110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Files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gene_level_results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filterByExpr gene results for GSE174188 and GSE135779 branches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sanitized_design_matrices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Direct-identifier-free analysis designs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composition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Frozen coefficients, contrasts, predictions, sensitivities, leave-one-out and diagnostics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transcription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Program, ranked-list, influence and concordance results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regulatory_and_orthogonal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ULM, target influence, CAMERA/FRY, M5911 and GSE23307 summaries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statistical_framework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Machine-readable test and multiplicity map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identity_robustness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Aggregate and replicate-level end-to-end identity metrics, boundary propagation results and integrity records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101</w:t>
            </w:r>
          </w:p>
        </w:tc>
      </w:tr>
      <w:tr>
        <w:trPr>
          <w:cantSplit/>
        </w:trPr>
        <w:tc>
          <w:tcPr>
            <w:tcW w:type="dxa" w:w="335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external_mapping_calibration</w:t>
            </w:r>
          </w:p>
        </w:tc>
        <w:tc>
          <w:tcPr>
            <w:tcW w:type="dxa" w:w="490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feature and parameter tables, full confidence-calibration family, aggregate selection diagnostics, provenance, arithmetic recount and publication boundary</w:t>
            </w:r>
          </w:p>
        </w:tc>
        <w:tc>
          <w:tcPr>
            <w:tcW w:type="dxa" w:w="1110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20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Table S9 | Reference-calibrated external mapping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206"/>
        <w:gridCol w:w="3577"/>
        <w:gridCol w:w="3577"/>
      </w:tblGrid>
      <w:tr>
        <w:trPr>
          <w:cantSplit/>
          <w:tblHeader w:val="true"/>
        </w:trPr>
        <w:tc>
          <w:tcPr>
            <w:tcW w:type="dxa" w:w="2206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Component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Corrected diagnostic</w:t>
            </w:r>
          </w:p>
        </w:tc>
        <w:tc>
          <w:tcPr>
            <w:tcW w:type="dxa" w:w="3577"/>
            <w:vAlign w:val="center"/>
            <w:shd w:fill="E8EEF5"/>
          </w:tcPr>
          <w:p>
            <w:pPr>
              <w:keepNext/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1F1F1F"/>
                <w:sz w:val="19"/>
              </w:rPr>
              <w:t>Interpretation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input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56 matrices; 363,083 cells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Complete source matrix coverage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External QC and selection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353,527 QC-passing cells; 36,630 B-lineage candidates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source labels or disease fields parsed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Reference training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13,000 B_CONV and 1,300 B_ASC; 258 donors; 601 features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Both algorithms share reference and features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Normalization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Full-library log1p(CP10K) before feature subsetting in both datasets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Corrects reference feature-only denominator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Elastic-net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Diagnostic threshold 0.95; coverage 0.941958; B_CONV precision 0.996450; B_ASC precision 0.885210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eligible candidate: state precision must be at least 0.90 and coverage at least 0.80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Centroid calibration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Margin 0.117767; coverage 0.95; B_CONV precision 0.992374; B_ASC precision 1.0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Eligible, but cannot replace required primary mapper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Mean reference-fold balanced accuracy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Elastic net 0.960569; centroid 0.950293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Calibration diagnostics; not independent performance estimates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Outcome policy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Corrected disease outcomes not estimated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No corrected effect, confidence interval, P or q value exists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Prior outcome exposure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Original sensitivity outcomes were known before correction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Post-outcome correction; not prospective validation</w:t>
            </w:r>
          </w:p>
        </w:tc>
      </w:tr>
      <w:tr>
        <w:trPr>
          <w:cantSplit/>
        </w:trPr>
        <w:tc>
          <w:tcPr>
            <w:tcW w:type="dxa" w:w="2206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Evidence boundary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Primary GSE135779 replication remains source-label-defined</w:t>
            </w:r>
          </w:p>
        </w:tc>
        <w:tc>
          <w:tcPr>
            <w:tcW w:type="dxa" w:w="3577"/>
            <w:vAlign w:val="center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1F1F1F"/>
                <w:sz w:val="19"/>
              </w:rPr>
              <w:t>Superseded uncorrected outcomes excluded from supporting evidence</w:t>
            </w:r>
          </w:p>
        </w:tc>
      </w:tr>
    </w:tbl>
    <w:p>
      <w:pPr>
        <w:spacing w:after="60"/>
      </w:pPr>
    </w:p>
    <w:p>
      <w:pPr>
        <w:widowControl/>
      </w:pPr>
      <w:r>
        <w:rPr>
          <w:rFonts w:ascii="Times New Roman" w:hAnsi="Times New Roman" w:eastAsia="Times New Roman"/>
          <w:color w:val="1F1F1F"/>
          <w:sz w:val="21"/>
        </w:rPr>
        <w:t>Full candidate calibration, donor-grouped cross-validation, reference normalization audit and corrected input/prediction hashes are retained with the analysis code. The original source-label-defined pseudobulk effect is a standardized HC3 model estimate; the unexecuted sensitivity would instead compare donor mean cell-level log1p(CP10K) scores. They are different estimands and must not be compared as effect attenuation. No new multiplicity family was evaluated after corrected calibration failed.</w:t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 | Source integrity and hard-quality-control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Hard-QC failure fractions by processing cohort and disease group.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Residual-risk call fraction versus cells per library, coloured by the library median score.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Percent and exact number of retained risk-negative cells and sensitivity-only residual-risk calls among 150,402 hard-QC B-lineage cells.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Median, 95th-percentile and threshold residual-risk scores for all 88 libraries.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17081"/>
            <wp:docPr id="1" name="Picture 1" title="Supplementary Figure S1" descr="Supplementary Figure S1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_source_integrity_q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170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S2 | Representation and bridge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Same-group neighbourhood concentration before and after Harmony adjustment.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Cross-cohort bridge-pair cosine-distance distributions.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Disease-blind branch concordance across Leiden resolutions for residual-risk-negative and strong-ISG-excluded branches; the vertical guide marks the primary resolution.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Biological marker-module localization across the five fine clusters considered before stability adjudication.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2" name="Picture 2" title="Supplementary Figure S2" descr="Supplementary Figure S2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2_representation_diagnost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S3 | Fine-state failure and transition structure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minimum cluster Jaccard values localize instability to fine-state membership across the five-, four- and three-state policies considered before broad adjudication.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Mean transition matrix from original resolution-0.4 clusters to mapped reference clusters across frozen-representation resamples. These diagnostics explain the transition to the broad B_CONV/B_ASC analysis scaffold; broad-state pass criteria are shown in Fig. 1 and end-to-end reconstruction is shown in Supplementary Fig. S4. Highly variable genes, principal components and Harmony coordinates were not recomputed in this figure.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37205"/>
            <wp:docPr id="3" name="Picture 3" title="Supplementary Figure S3" descr="Supplementary Figure S3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3_fine_state_failure_transition_stru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37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S4 | End-to-end reconstruction exposes a B_ASC-specific boundary without changing the disease conclusions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Observed values and prespecified criteria for five end-to-end two-compartment checks; four met their criteria and minimum state-median Jaccard did not.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State Jaccard across 20 complete reconstruction replicates localizes the unmet overlap criterion to B_ASC, while B_CONV remains above 0.95.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Counts of sampled cells exchanged across the B_CONV/B_ASC boundary.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composition odds ratios and 95% confidence intervals after each observed boundary exchange; the dashed guide marks one and the orange line marks the frozen estimate. </w:t>
      </w:r>
      <w:r>
        <w:rPr>
          <w:rFonts w:ascii="Times New Roman" w:hAnsi="Times New Roman" w:eastAsia="Times New Roman"/>
          <w:b/>
          <w:color w:val="1F1F1F"/>
          <w:sz w:val="21"/>
        </w:rPr>
        <w:t>e,</w:t>
      </w:r>
      <w:r>
        <w:rPr>
          <w:rFonts w:ascii="Times New Roman" w:hAnsi="Times New Roman" w:eastAsia="Times New Roman"/>
          <w:color w:val="1F1F1F"/>
          <w:sz w:val="21"/>
        </w:rPr>
        <w:t xml:space="preserve"> Primary and donor-nonoverlap B_CONV IFN/ISG effects after boundary-cell raw counts were propagated through frozen TMM logCPM and HC3 models; dotted lines mark the frozen effects. All propagation analyses reuse GSE174188 and quantify assignment sensitivity rather than independent replication.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465140"/>
            <wp:docPr id="4" name="Picture 4" title="Supplementary Figure S4" descr="Supplementary Figure S4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4_identity_boundary_and_propaga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465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S5 | Composition-model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Total and zero-ASC sample-cohort strata in the three base contrasts.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Primary B_ASC odds ratios under support, explicit non-B and residual-risk policies using observed-information and HC1 covariance.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Firth-logistic ASC-presence sensitivity.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Positive-only abundance sensitivity using HC3 uncertainty. Panels c-d use logarithmic ratio axes with the null fixed at one; the two-part models are sensitivity analyses and do not replace the frozen beta-binomial primary model.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5" name="Picture 5" title="Supplementary Figure S5" descr="Supplementary Figure S5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5_composition_diagnostic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S6 | Pseudobulk and ranked-list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Numbers of filterByExpr-tested and BH-significant genes across seven GSE174188 branches.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Common and median tagwise edgeR dispersions.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Mitochondrial, ribosomal, haemoglobin and immunoglobulin fractions among increasingly long primary ranked lists. IFN/ISG estimates across the frozen GSE174188 branches are owned by Fig. 3b and are not repeated here.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551835"/>
            <wp:docPr id="6" name="Picture 6" title="Supplementary Figure S6" descr="Supplementary Figure S6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6_pseudobulk_ranked_list_diagnostic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51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S7 | GSE135779 replication and robustness diagnostics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Control and SLE donor counts across the five GSE135779 models.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Four-program childhood estimates.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Childhood IFN/ISG estimates after omission of each source B-cell label.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Full childhood program effects and ranges across donor-deletion analyses.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381946"/>
            <wp:docPr id="7" name="Picture 7" title="Supplementary Figure S7" descr="Supplementary Figure S7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7_replication_robustness_diagnost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381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S8 | Reference calibration limits source-label-independent external transfer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Median and interquartile range of full-library divided by selected-feature counts among 13,000 B_CONV and 1,300 B_ASC reference training cells. This ratio quantifies the legacy pre-log scaling discrepancy; corrected mapping uses full-library denominators in both datasets.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Per-state precision at the diagnostic elastic-net and eligible centroid thresholds. Mapper colour is held constant across panels b-d, marker shape distinguishes B_CONV from B_ASC, and the dashed line is the unchanged 0.90 state-precision criterion.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Reference-cell coverage at those thresholds; the dashed line is the unchanged 0.80 criterion.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Balanced accuracy in each of five donor-grouped reference calibration folds; black horizontal bars show fold means. No eligibility guide is drawn because balanced accuracy is diagnostic only. These folds select model and threshold parameters, not independent performance estimates. The elastic-net B_ASC precision failure prevents outcome access; centroid success is not a replacement analysis. No corrected external disease result is shown.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93"/>
            <wp:docPr id="8" name="Picture 8" title="Supplementary Figure S8" descr="Supplementary Figure S8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8_reference_calibration_bound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S9 | Correlation-aware regulator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CAMERA and FRY six-test BH concordance for STAT1 and STAT2. Dashed guides indicate q=0.05.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CAMERA residual-estimated inter-gene correlations.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CAMERA and FRY BH q values.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Matched signed-target counts, which equal the frozen ULM family (STAT1: 98, 129 and 161; STAT2: 14, 19 and 20).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4299513"/>
            <wp:docPr id="9" name="Picture 9" title="Supplementary Figure S9" descr="Supplementary Figure S9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9_regulator_correlation_sensitiv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2995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color w:val="1F1F1F"/>
          <w:sz w:val="28"/>
        </w:rPr>
        <w:t>Supplementary Figure S10 | STAT1/STAT2 IFN-overlap-depletion sensitivity</w:t>
      </w:r>
    </w:p>
    <w:p>
      <w:pPr>
        <w:widowControl/>
      </w:pPr>
      <w:r>
        <w:rPr>
          <w:rFonts w:ascii="Times New Roman" w:hAnsi="Times New Roman" w:eastAsia="Times New Roman"/>
          <w:b/>
          <w:color w:val="1F1F1F"/>
          <w:sz w:val="21"/>
        </w:rPr>
        <w:t>a,</w:t>
      </w:r>
      <w:r>
        <w:rPr>
          <w:rFonts w:ascii="Times New Roman" w:hAnsi="Times New Roman" w:eastAsia="Times New Roman"/>
          <w:color w:val="1F1F1F"/>
          <w:sz w:val="21"/>
        </w:rPr>
        <w:t xml:space="preserve"> ULM slopes and 95% confidence intervals after removal of the frozen 12-gene IFN/ISG positive arm. </w:t>
      </w:r>
      <w:r>
        <w:rPr>
          <w:rFonts w:ascii="Times New Roman" w:hAnsi="Times New Roman" w:eastAsia="Times New Roman"/>
          <w:b/>
          <w:color w:val="1F1F1F"/>
          <w:sz w:val="21"/>
        </w:rPr>
        <w:t>b,</w:t>
      </w:r>
      <w:r>
        <w:rPr>
          <w:rFonts w:ascii="Times New Roman" w:hAnsi="Times New Roman" w:eastAsia="Times New Roman"/>
          <w:color w:val="1F1F1F"/>
          <w:sz w:val="21"/>
        </w:rPr>
        <w:t xml:space="preserve"> Corresponding estimates after removal of all 97 M5911 genes; discovery STAT2 retains eight targets and its interval crosses zero. Labels report remaining matched targets. </w:t>
      </w:r>
      <w:r>
        <w:rPr>
          <w:rFonts w:ascii="Times New Roman" w:hAnsi="Times New Roman" w:eastAsia="Times New Roman"/>
          <w:b/>
          <w:color w:val="1F1F1F"/>
          <w:sz w:val="21"/>
        </w:rPr>
        <w:t>c,</w:t>
      </w:r>
      <w:r>
        <w:rPr>
          <w:rFonts w:ascii="Times New Roman" w:hAnsi="Times New Roman" w:eastAsia="Times New Roman"/>
          <w:color w:val="1F1F1F"/>
          <w:sz w:val="21"/>
        </w:rPr>
        <w:t xml:space="preserve"> Exact branch- and method-specific Benjamini-Hochberg q values across the six regulator-by-contrast tests. </w:t>
      </w:r>
      <w:r>
        <w:rPr>
          <w:rFonts w:ascii="Times New Roman" w:hAnsi="Times New Roman" w:eastAsia="Times New Roman"/>
          <w:b/>
          <w:color w:val="1F1F1F"/>
          <w:sz w:val="21"/>
        </w:rPr>
        <w:t>d,</w:t>
      </w:r>
      <w:r>
        <w:rPr>
          <w:rFonts w:ascii="Times New Roman" w:hAnsi="Times New Roman" w:eastAsia="Times New Roman"/>
          <w:color w:val="1F1F1F"/>
          <w:sz w:val="21"/>
        </w:rPr>
        <w:t xml:space="preserve"> Percentage of frozen matched targets retained after each depletion. All method-level directions remain positive, but M5911 depletion produces substantial attenuation and does not support an overlap-independent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5294490"/>
            <wp:docPr id="10" name="Picture 10" title="Supplementary Figure S10" descr="Supplementary Figure S10; full panel description appears immediately above the fig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ry_Figure_S10_overlap_deple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2944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2" w:color="BFBFBF"/>
      </w:pBdr>
    </w:pPr>
    <w:r>
      <w:rPr>
        <w:rFonts w:ascii="Times New Roman" w:hAnsi="Times New Roman" w:eastAsia="Times New Roman"/>
        <w:color w:val="595959"/>
        <w:sz w:val="18"/>
      </w:rPr>
      <w:t>Supplementary information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76"/>
    </w:pPr>
    <w:rPr>
      <w:rFonts w:ascii="Times New Roman" w:hAnsi="Times New Roman" w:eastAsia="Times New Roman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40" w:lineRule="auto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1F1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ence">
    <w:name w:val="Reference"/>
    <w:pPr>
      <w:spacing w:after="60" w:lineRule="auto" w:line="276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information</dc:title>
  <dc:subject>Supplementary first-citation-order scientific maintenance freeze</dc:subject>
  <dc:creator>Zhi Chen; Teng Qi</dc:creator>
  <cp:keywords>SLE; B cells; single-cell RNA sequencing; interferon</cp:keywords>
  <dc:description>ADOPT_COMPACT_15_PAGE_CANDIDATE; display-only renumbering from byte-identical figures and Source Data.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