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Interferon remodeling remains reproducible despite less stable B 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identity, abundance and transcription when unstable annotations are treated as fixed states. We reanalysed public systemic lupus erythematosus datasets using disease-blind B-lineage reconstruction and biological-unit-aware inference. Among 150,402 discovery B-lineage cells, end-to-end resampling failed the antibody-secreting-cell overlap criterion, restricting broad compartments to an analysis scaffold. The primary abundance contrast lacked support (odds ratio 0.947, 95% confidence interval 0.636-1.410). In 89 conventional-B pseudobulks, the frozen IFN/ISG program was higher in source-defined managed SLE (adjusted score difference 0.837, 95% confidence interval 0.525-1.148; four-program q=2.98 x 10^-6). It replicated in 43 independent GSE135779 childhood donors using a source-label-defined broad-B analogue (difference 1.042, 95% confidence interval 0.681-1.402), despite weak genome-wide concordance (rho=0.026). Corrected source-label-independent remapping failed calibration; no corrected disease effect was estimated. STAT1/STAT2 target analyses converged observationally but weakened after broader interferon-gene depletion. Thus, the prespecified process-level interferon association retained support where tested hard-state assignments did not,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t>The transcriptional analysis retained 89 primary B_CONV pseudobulks, comprising 43 control and 46 source-defined managed-SLE strata and 59,873,385 unique molecular identifier (UMI) counts. The difference from the 90 composition strata arose because one source-defined managed-SLE stratum contained 44 B_CONV cells after compartment assignment and did not meet the prespecified 50-cell B_CONV threshold. Gene-level inference used trimmed mean of M values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r>
        <w:rPr>
          <w:rFonts w:ascii="Times New Roman" w:hAnsi="Times New Roman" w:eastAsia="Times New Roman"/>
          <w:color w:val="1F1F1F"/>
          <w:sz w:val="24"/>
        </w:rPr>
        <w:t>Prespecified specificity controls did not show the same cross-contrast pattern. Platelet/ambient and ASC/UPR estimates had intervals spanning zero in both the primary and donor-nonoverlap analyses. The pan-B control was positive in the primary analysis (effect 0.409, 95% confidence interval 0.119-0.699; nominal P=0.00624) but not in donor-nonoverlap replication (effect -0.194, 95% confidence interval -0.835 to 0.447). These diagnostics distinguish the replicated IFN program from a uniformly recurring technical or pan-B pattern; they do not prove the absence of contamination or all nonspecific expression effects (Fig. 3d).</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3a).</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prespecified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 (Supplementary Fig. S7).</w:t>
      </w:r>
    </w:p>
    <w:p>
      <w:pPr>
        <w:widowControl/>
      </w:pPr>
      <w:r>
        <w:t>The IFN signal was also distinguishable from several alternative program-level explanations. In the childhood contrast, platelet/ambient, ASC/UPR and pan-B control effects were 0.049, 0.221 and -0.232, respectively, compared with 1.042 for IFN/ISG. All 12 available prespecified IFN-arm genes were positive, ranked enrichment had a CAMERA false-discovery rate of 1.85 x 10^-7, and all ten IFN genes jointly tested in the primary GSE174188 and childhood GSE135779 analyses were positive in both datasets (Fig. 4c).</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(Fig. 4d; Supplementary Table S9 and Supplementary Fig. S8). Accordingly, the independent primary replication remains source-label-defined: the calibration failure neither negates the IFN association nor establishes source-label-independent transfer.</w:t>
      </w:r>
    </w:p>
    <w:p>
      <w:pPr>
        <w:pStyle w:val="Heading2"/>
      </w:pPr>
      <w:r>
        <w:rPr>
          <w:rFonts w:ascii="Times New Roman" w:hAnsi="Times New Roman" w:eastAsia="Times New Roman"/>
          <w:color w:val="1F1F1F"/>
          <w:sz w:val="24"/>
        </w:rPr>
        <w:t>Convergent regulatory and response evidence remains observational</w:t>
      </w:r>
    </w:p>
    <w:p>
      <w:pPr>
        <w:widowControl/>
      </w:pPr>
      <w: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with univariate linear models (ULM)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t>Overlap-depletion analyses further constrained interpretation. After removal of the 12 prespecified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97 genes in the MSigDB Hallmark interferon-alpha response set M5911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(Fig. 5d; Supplementary Fig. S10; Supplementary Table S4b).</w:t>
      </w:r>
    </w:p>
    <w:p>
      <w:pPr>
        <w:widowControl/>
      </w:pPr>
      <w:r>
        <w:t>Two additional analyses provided response-level context rather than causal proof. The same M5911 interferon-alpha response set was positively enriched in all three ranked contrasts (normalized enrichment scores 3.187, 3.050 and 3.527; 10,000 gene-label permutations per contrast; Fig. 5a and Supplementary Table S3). In GSE23307 primary B cells exposed ex vivo to IFN-beta, all 12 genes in the prespecified positive arm increased in each of two healthy donors, with mean paired log2(x+1) effects of 3.294 and 3.666. No inferential P value was calculated at n=2 (Fig. 5e).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2"/>
      </w:pPr>
      <w:r>
        <w:rPr>
          <w:rFonts w:ascii="Times New Roman" w:hAnsi="Times New Roman" w:eastAsia="Times New Roman"/>
          <w:color w:val="1F1F1F"/>
          <w:sz w:val="24"/>
        </w:rPr>
        <w:t>Later measurement-rule sensitivity re-estimates uncertainty for the same contrast</w:t>
      </w:r>
    </w:p>
    <w:p>
      <w:pPr/>
      <w:r>
        <w:rPr>
          <w:rFonts w:ascii="Times New Roman" w:hAnsi="Times New Roman" w:eastAsia="Times New Roman"/>
          <w:color w:val="1F1F1F"/>
          <w:sz w:val="24"/>
        </w:rPr>
        <w:t>A later, explicitly outcome-exposed measurement-rule sensitivity concerned an already observed contrast rather than an additional replication. In the same 68 donors (31 controls and 37 source-defined managed-SLE donors), fixed-reference profile mixing minus pooled-count scoring yielded a disease-coefficient difference of 0.034925 T0 units. The earlier paired-percentile bootstrap interval was 0.013789-0.057130; the subsequent G2C-qualified HC3-t(64) interval was 0.011834-0.058016 (nominal P=0.003612). Both procedures use the same outcomes and estimand. This difference is neither a mediated fraction nor a cell-intrinsic disease effect, and its scale is distinct from the primary TMM-score model (Supplementary Table S10).</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r>
        <w:rPr>
          <w:rFonts w:ascii="Times New Roman" w:hAnsi="Times New Roman"/>
          <w:sz w:val="24"/>
        </w:rPr>
        <w:t>The later measurement-rule analysis addresses a separate uncertainty: how an observed association depends on the expression-mixing operator. Its two intervals describe the same 68-donor contrast, not two replications. Because its fixed-reference T0 score and population differ from the primary TMM-score analysis, their effect magnitudes cannot be combined or interpreted as a proportion explained by composition. Synthetic G2C qualification supports the tested interval procedure only within its generating regimes; it does not establish that all capture, misclassification or mixing mechanisms in the real data were modelled correctly (Supplementary Table S10).</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transfer and mechanistic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Prespecified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r>
        <w:rPr>
          <w:rFonts w:ascii="Times New Roman" w:hAnsi="Times New Roman"/>
          <w:sz w:val="24"/>
        </w:rPr>
        <w:t>A later, explicitly outcome-exposed measurement-rule sensitivity used a separate frozen 68-donor common-support subset (31 controls and 37 source-defined managed-SLE donors). For the same 12-gene T0 measurement, we re-estimated uncertainty for the disease-coefficient difference between fixed-reference linear CPM profile mixing and observed pooled-count mixing using donor-level OLS, HC3 variance and t(64) critical values after synthetic operating-characteristic qualification. This is distinct from the 89-pseudobulk TMM-score primary model; exact definitions, both intervals and the analysis chronology are given in Supplementary Table S10.</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prespecified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(ULM)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 These target-model intervals quantify the fitted gene-statistic slope, not donor-level TF activity or new biological replication; correlation-aware sensitivities address the dependence among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t>An additional overlap-depletion sensitivity, added after the core regulator analysis had been fixed, evaluated whether the STAT1/STAT2 results were reducible to genes shared with interferon-response programs. Branch A removed the 12 prespecified positive-arm IFN/ISG genes from the signed regulon targets; branch B removed all 97 genes in the MSigDB Hallmark interferon-alpha response set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prespecified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Prespecified-program linear models used HC3 covariance and Benjamini-Hochberg correction across the four prespecified programs within each analysis. Ranked program-arm CAMERA results were corrected within each corresponding analysis.</w:t>
      </w:r>
    </w:p>
    <w:p>
      <w:pPr>
        <w:widowControl/>
      </w:pPr>
      <w: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sensitivity families for ULM, CAMERA and FRY; these analyses were added after the original 24-test regulator family had been fixed and did not replace it.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t>OpenAI Codex was used for code drafting, workflow documentation, language editing and development of quality-control checks. All computations were executed locally against fixed inputs, and reported numerical results were read from the resulting analysis outputs rather than generated by the language model. Scientific interpretation and final decisions remained author-led.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Reported numerical claims were sourced from current machine-generated analysis outputs rather than from superseded manuscript or figure files.</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Figure source data and complete statistical results for the core analysis are supplied as Supplementary Data 1-3 and archived at https://doi.org/10.5281/zenodo.22151739 [33]. The later measurement-rule sensitivity is reported separately in Supplementary Table S10 and its accompanying source-data file; it is not part of that earlier version-specific archive.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Core analysis code, decision records, environments and restoration instructions are available at https://github.com/1209433622cz-maker/sle-bcell-remodeling (release v1.1.0; scientific content commit f1859ff8498d5569a1d5027b36ed18c8b7c7536f) and archived at https://doi.org/10.5281/zenodo.22151739 [33]. The same repository retains the later measurement-rule sensitivity code and write-once result record under the RP v4 branch of the analysis; the Stage I result records its execution binding to commit b413ce09fae520eef0a7a781ee71ddece7606be0.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t>a, Disease-blind B_CONV/B_ASC adjudication preceded sample-cohort analyses; hard fine states were not used. b, Median/minimum mapped adjusted Rand index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Discovery/internal GSE174188 effects beside source-label-defined GSE135779 effects. c, Effects for 4,410 shared tested genes; all ten IFN genes were positive despite genome-wide Spearman rho=0.026. d, Required corrected elastic-net calibration (observed minus criterion): coverage and B_CONV precision passed, whereas B_ASC precision was 0.885 (&lt;0.90), so no corrected external disease effect was estimated; dashed line, criterion equality. Supplementary Figs. S7/S8 retain full diagnostics. Donors are biological units; the adult estimate is directional only. Scores were standardized within each analysis; the displayed estimates are not pooled on a common absolute-expression scale. Combined and childhood analyses overlap and are not separate independent replications.</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t>a, Evidence classes and roles. Univariate linear model (ULM) STAT1/STAT2 activity is confirmatory observational evidence; M5911 is the MSigDB Hallmark interferon-alpha response set and GSE23307 provides descriptive perturbational context. None establishes causality, direct binding or a unique upstream stimulus. b, CollecTRI slopes for STAT1/STAT2 and IRF7/IRF9 across three contrasts. c, Proliferation comparators; asterisks, global 24-test q&lt;0.05. d, ULM sensitivity excluding the 12-gene IFN/ISG arm or 97-gene M5911 set (95% CIs); only M5911 removal made discovery STAT2 cross zero. Full ULM/CAMERA/FRY results: Supplementary Fig. S10 and Table S4b. e, Paired log2(x+1) effects for the 12-gene IFN arm in two IFN-beta-exposed donors; all genes increased in both donors; no P value was calculated (n=2). Intervals in b-d describe signed-target ULM slopes fitted to gene-ranked statistics, not participant-level TF activity. The original 24-test family and branch-specific six-test sensitivity families remain distinct.</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Interferon remodeling remains reproducible despite less stable B cell state assignments in systemic lupus erythematosus</dc:title>
  <dc:subject>Scientific-presentation final cross-document freeze</dc:subject>
  <dc:creator>Zhi Chen; Teng Qi</dc:creator>
  <cp:keywords>SLE; B cells; single-cell RNA sequencing; interferon</cp:keywords>
  <dc:description>Discussion landing synchronized with identity, transfer and mechanistic limits; no estimate, figure or Source Data change.</dc:description>
  <cp:lastModifiedBy/>
  <cp:revision>1</cp:revision>
  <dcterms:created xsi:type="dcterms:W3CDTF">2013-12-23T23:15:00Z</dcterms:created>
  <dcterms:modified xsi:type="dcterms:W3CDTF">2013-12-23T23:15:00Z</dcterms:modified>
  <cp:category/>
</cp:coreProperties>
</file>