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Supplementary information</w:t>
      </w:r>
    </w:p>
    <w:p>
      <w:pPr>
        <w:pStyle w:val="Heading1"/>
      </w:pPr>
      <w:r>
        <w:rPr>
          <w:rFonts w:ascii="Times New Roman" w:hAnsi="Times New Roman" w:eastAsia="Times New Roman"/>
          <w:color w:val="1F1F1F"/>
          <w:sz w:val="28"/>
        </w:rPr>
        <w:t>Interferon remodeling remains reproducible despite less stable B cell state assignments in systemic lupus erythematosus</w:t>
      </w:r>
    </w:p>
    <w:p>
      <w:pPr>
        <w:widowControl/>
      </w:pPr>
      <w:r>
        <w:rPr>
          <w:rFonts w:ascii="Times New Roman" w:hAnsi="Times New Roman" w:eastAsia="Times New Roman"/>
          <w:b/>
          <w:color w:val="1F1F1F"/>
          <w:sz w:val="21"/>
        </w:rPr>
        <w:t>Authors:</w:t>
      </w:r>
      <w:r>
        <w:rPr>
          <w:rFonts w:ascii="Times New Roman" w:hAnsi="Times New Roman" w:eastAsia="Times New Roman"/>
          <w:color w:val="1F1F1F"/>
          <w:sz w:val="21"/>
        </w:rPr>
        <w:t xml:space="preserve"> Zhi Chen and Teng Qi</w:t>
      </w:r>
    </w:p>
    <w:p>
      <w:pPr>
        <w:pStyle w:val="Heading1"/>
      </w:pPr>
      <w:r>
        <w:rPr>
          <w:rFonts w:ascii="Times New Roman" w:hAnsi="Times New Roman" w:eastAsia="Times New Roman"/>
          <w:color w:val="1F1F1F"/>
          <w:sz w:val="28"/>
        </w:rPr>
        <w:t>Supplementary overview</w:t>
      </w:r>
    </w:p>
    <w:p>
      <w:pPr>
        <w:widowControl/>
      </w:pPr>
      <w:r>
        <w:rPr>
          <w:rFonts w:ascii="Times New Roman" w:hAnsi="Times New Roman" w:eastAsia="Times New Roman"/>
          <w:color w:val="1F1F1F"/>
          <w:sz w:val="21"/>
        </w:rPr>
        <w:t>This single Supplementary Information file contains Tables S1-S10 and Figures S1-S10 supporting the main Article. All analytical methods required to interpret the work are reported in the main manuscript. Machine-readable figure source data, regulator sensitivity results and complete statistical outputs are supplied separately as Supplementary Data 1-3. Original external-mapping sensitivity outcomes are superseded, and no corrected disease effect was estimated after calibration failed.</w:t>
      </w:r>
    </w:p>
    <w:p>
      <w:pPr>
        <w:pStyle w:val="Heading1"/>
      </w:pPr>
      <w:r>
        <w:rPr>
          <w:rFonts w:ascii="Times New Roman" w:hAnsi="Times New Roman" w:eastAsia="Times New Roman"/>
          <w:color w:val="1F1F1F"/>
          <w:sz w:val="28"/>
        </w:rPr>
        <w:t>Supplementary Table S1 | Dataset roles and inferential units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600"/>
        <w:gridCol w:w="1700"/>
        <w:gridCol w:w="2100"/>
        <w:gridCol w:w="3960"/>
      </w:tblGrid>
      <w:tr>
        <w:trPr>
          <w:cantSplit/>
          <w:tblHeader w:val="true"/>
        </w:trPr>
        <w:tc>
          <w:tcPr>
            <w:tcW w:type="dxa" w:w="1600"/>
            <w:vAlign w:val="center"/>
            <w:shd w:fill="E8EEF5"/>
          </w:tcPr>
          <w:p>
            <w:pPr>
              <w:keepNext/>
              <w:spacing w:before="0" w:after="0" w:line="240" w:lineRule="auto"/>
            </w:pPr>
            <w:r>
              <w:rPr>
                <w:rFonts w:ascii="Times New Roman" w:hAnsi="Times New Roman" w:eastAsia="Times New Roman"/>
                <w:b/>
                <w:color w:val="1F1F1F"/>
                <w:sz w:val="19"/>
              </w:rPr>
              <w:t>Resource</w:t>
            </w:r>
          </w:p>
        </w:tc>
        <w:tc>
          <w:tcPr>
            <w:tcW w:type="dxa" w:w="1700"/>
            <w:vAlign w:val="center"/>
            <w:shd w:fill="E8EEF5"/>
          </w:tcPr>
          <w:p>
            <w:pPr>
              <w:keepNext/>
              <w:spacing w:before="0" w:after="0" w:line="240" w:lineRule="auto"/>
            </w:pPr>
            <w:r>
              <w:rPr>
                <w:rFonts w:ascii="Times New Roman" w:hAnsi="Times New Roman" w:eastAsia="Times New Roman"/>
                <w:b/>
                <w:color w:val="1F1F1F"/>
                <w:sz w:val="19"/>
              </w:rPr>
              <w:t>Role</w:t>
            </w:r>
          </w:p>
        </w:tc>
        <w:tc>
          <w:tcPr>
            <w:tcW w:type="dxa" w:w="2100"/>
            <w:vAlign w:val="center"/>
            <w:shd w:fill="E8EEF5"/>
          </w:tcPr>
          <w:p>
            <w:pPr>
              <w:keepNext/>
              <w:spacing w:before="0" w:after="0" w:line="240" w:lineRule="auto"/>
            </w:pPr>
            <w:r>
              <w:rPr>
                <w:rFonts w:ascii="Times New Roman" w:hAnsi="Times New Roman" w:eastAsia="Times New Roman"/>
                <w:b/>
                <w:color w:val="1F1F1F"/>
                <w:sz w:val="19"/>
              </w:rPr>
              <w:t>Biological unit</w:t>
            </w:r>
          </w:p>
        </w:tc>
        <w:tc>
          <w:tcPr>
            <w:tcW w:type="dxa" w:w="3960"/>
            <w:vAlign w:val="center"/>
            <w:shd w:fill="E8EEF5"/>
          </w:tcPr>
          <w:p>
            <w:pPr>
              <w:keepNext/>
              <w:spacing w:before="0" w:after="0" w:line="240" w:lineRule="auto"/>
            </w:pPr>
            <w:r>
              <w:rPr>
                <w:rFonts w:ascii="Times New Roman" w:hAnsi="Times New Roman" w:eastAsia="Times New Roman"/>
                <w:b/>
                <w:color w:val="1F1F1F"/>
                <w:sz w:val="19"/>
              </w:rPr>
              <w:t>Active scope</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GSE174188</w:t>
            </w:r>
          </w:p>
        </w:tc>
        <w:tc>
          <w:tcPr>
            <w:tcW w:type="dxa" w:w="1700"/>
            <w:vAlign w:val="center"/>
          </w:tcPr>
          <w:p>
            <w:pPr>
              <w:spacing w:before="0" w:after="0" w:line="240" w:lineRule="auto"/>
            </w:pPr>
            <w:r>
              <w:rPr>
                <w:rFonts w:ascii="Times New Roman" w:hAnsi="Times New Roman" w:eastAsia="Times New Roman"/>
                <w:color w:val="1F1F1F"/>
                <w:sz w:val="19"/>
              </w:rPr>
              <w:t>Discovery and internal replication</w:t>
            </w:r>
          </w:p>
        </w:tc>
        <w:tc>
          <w:tcPr>
            <w:tcW w:type="dxa" w:w="2100"/>
            <w:vAlign w:val="center"/>
          </w:tcPr>
          <w:p>
            <w:pPr>
              <w:spacing w:before="0" w:after="0" w:line="240" w:lineRule="auto"/>
            </w:pPr>
            <w:r>
              <w:rPr>
                <w:rFonts w:ascii="Times New Roman" w:hAnsi="Times New Roman" w:eastAsia="Times New Roman"/>
                <w:color w:val="1F1F1F"/>
                <w:sz w:val="19"/>
              </w:rPr>
              <w:t>Sample-cohort stratum; donor sensitivities</w:t>
            </w:r>
          </w:p>
        </w:tc>
        <w:tc>
          <w:tcPr>
            <w:tcW w:type="dxa" w:w="3960"/>
            <w:vAlign w:val="center"/>
          </w:tcPr>
          <w:p>
            <w:pPr>
              <w:spacing w:before="0" w:after="0" w:line="240" w:lineRule="auto"/>
            </w:pPr>
            <w:r>
              <w:rPr>
                <w:rFonts w:ascii="Times New Roman" w:hAnsi="Times New Roman" w:eastAsia="Times New Roman"/>
                <w:color w:val="1F1F1F"/>
                <w:sz w:val="19"/>
              </w:rPr>
              <w:t>Disease-blind B_CONV/B_ASC analysis scaffold, composition and B_CONV transcription</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GSE135779</w:t>
            </w:r>
          </w:p>
        </w:tc>
        <w:tc>
          <w:tcPr>
            <w:tcW w:type="dxa" w:w="1700"/>
            <w:vAlign w:val="center"/>
          </w:tcPr>
          <w:p>
            <w:pPr>
              <w:spacing w:before="0" w:after="0" w:line="240" w:lineRule="auto"/>
            </w:pPr>
            <w:r>
              <w:rPr>
                <w:rFonts w:ascii="Times New Roman" w:hAnsi="Times New Roman" w:eastAsia="Times New Roman"/>
                <w:color w:val="1F1F1F"/>
                <w:sz w:val="19"/>
              </w:rPr>
              <w:t>Independent SLE replication</w:t>
            </w:r>
          </w:p>
        </w:tc>
        <w:tc>
          <w:tcPr>
            <w:tcW w:type="dxa" w:w="2100"/>
            <w:vAlign w:val="center"/>
          </w:tcPr>
          <w:p>
            <w:pPr>
              <w:spacing w:before="0" w:after="0" w:line="240" w:lineRule="auto"/>
            </w:pPr>
            <w:r>
              <w:rPr>
                <w:rFonts w:ascii="Times New Roman" w:hAnsi="Times New Roman" w:eastAsia="Times New Roman"/>
                <w:color w:val="1F1F1F"/>
                <w:sz w:val="19"/>
              </w:rPr>
              <w:t>Donor</w:t>
            </w:r>
          </w:p>
        </w:tc>
        <w:tc>
          <w:tcPr>
            <w:tcW w:type="dxa" w:w="3960"/>
            <w:vAlign w:val="center"/>
          </w:tcPr>
          <w:p>
            <w:pPr>
              <w:spacing w:before="0" w:after="0" w:line="240" w:lineRule="auto"/>
            </w:pPr>
            <w:r>
              <w:rPr>
                <w:rFonts w:ascii="Times New Roman" w:hAnsi="Times New Roman" w:eastAsia="Times New Roman"/>
                <w:color w:val="1F1F1F"/>
                <w:sz w:val="19"/>
              </w:rPr>
              <w:t>Broad conventional-B analogue; childhood primary</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CollecTRI/OmniPath</w:t>
            </w:r>
          </w:p>
        </w:tc>
        <w:tc>
          <w:tcPr>
            <w:tcW w:type="dxa" w:w="1700"/>
            <w:vAlign w:val="center"/>
          </w:tcPr>
          <w:p>
            <w:pPr>
              <w:spacing w:before="0" w:after="0" w:line="240" w:lineRule="auto"/>
            </w:pPr>
            <w:r>
              <w:rPr>
                <w:rFonts w:ascii="Times New Roman" w:hAnsi="Times New Roman" w:eastAsia="Times New Roman"/>
                <w:color w:val="1F1F1F"/>
                <w:sz w:val="19"/>
              </w:rPr>
              <w:t>Curated regulator prior</w:t>
            </w:r>
          </w:p>
        </w:tc>
        <w:tc>
          <w:tcPr>
            <w:tcW w:type="dxa" w:w="2100"/>
            <w:vAlign w:val="center"/>
          </w:tcPr>
          <w:p>
            <w:pPr>
              <w:spacing w:before="0" w:after="0" w:line="240" w:lineRule="auto"/>
            </w:pPr>
            <w:r>
              <w:rPr>
                <w:rFonts w:ascii="Times New Roman" w:hAnsi="Times New Roman" w:eastAsia="Times New Roman"/>
                <w:color w:val="1F1F1F"/>
                <w:sz w:val="19"/>
              </w:rPr>
              <w:t>Ranked genes within contrast</w:t>
            </w:r>
          </w:p>
        </w:tc>
        <w:tc>
          <w:tcPr>
            <w:tcW w:type="dxa" w:w="3960"/>
            <w:vAlign w:val="center"/>
          </w:tcPr>
          <w:p>
            <w:pPr>
              <w:spacing w:before="0" w:after="0" w:line="240" w:lineRule="auto"/>
            </w:pPr>
            <w:r>
              <w:rPr>
                <w:rFonts w:ascii="Times New Roman" w:hAnsi="Times New Roman" w:eastAsia="Times New Roman"/>
                <w:color w:val="1F1F1F"/>
                <w:sz w:val="19"/>
              </w:rPr>
              <w:t>Prespecified eight-regulator, three-contrast family</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MSigDB M5911</w:t>
            </w:r>
          </w:p>
        </w:tc>
        <w:tc>
          <w:tcPr>
            <w:tcW w:type="dxa" w:w="1700"/>
            <w:vAlign w:val="center"/>
          </w:tcPr>
          <w:p>
            <w:pPr>
              <w:spacing w:before="0" w:after="0" w:line="240" w:lineRule="auto"/>
            </w:pPr>
            <w:r>
              <w:rPr>
                <w:rFonts w:ascii="Times New Roman" w:hAnsi="Times New Roman" w:eastAsia="Times New Roman"/>
                <w:color w:val="1F1F1F"/>
                <w:sz w:val="19"/>
              </w:rPr>
              <w:t>Orthogonal response prior</w:t>
            </w:r>
          </w:p>
        </w:tc>
        <w:tc>
          <w:tcPr>
            <w:tcW w:type="dxa" w:w="2100"/>
            <w:vAlign w:val="center"/>
          </w:tcPr>
          <w:p>
            <w:pPr>
              <w:spacing w:before="0" w:after="0" w:line="240" w:lineRule="auto"/>
            </w:pPr>
            <w:r>
              <w:rPr>
                <w:rFonts w:ascii="Times New Roman" w:hAnsi="Times New Roman" w:eastAsia="Times New Roman"/>
                <w:color w:val="1F1F1F"/>
                <w:sz w:val="19"/>
              </w:rPr>
              <w:t>Ranked genes within contrast</w:t>
            </w:r>
          </w:p>
        </w:tc>
        <w:tc>
          <w:tcPr>
            <w:tcW w:type="dxa" w:w="3960"/>
            <w:vAlign w:val="center"/>
          </w:tcPr>
          <w:p>
            <w:pPr>
              <w:spacing w:before="0" w:after="0" w:line="240" w:lineRule="auto"/>
            </w:pPr>
            <w:r>
              <w:rPr>
                <w:rFonts w:ascii="Times New Roman" w:hAnsi="Times New Roman" w:eastAsia="Times New Roman"/>
                <w:color w:val="1F1F1F"/>
                <w:sz w:val="19"/>
              </w:rPr>
              <w:t>Hallmark interferon-alpha response enrichment</w:t>
            </w:r>
          </w:p>
        </w:tc>
      </w:tr>
      <w:tr>
        <w:trPr>
          <w:cantSplit/>
        </w:trPr>
        <w:tc>
          <w:tcPr>
            <w:tcW w:type="dxa" w:w="1600"/>
            <w:vAlign w:val="center"/>
          </w:tcPr>
          <w:p>
            <w:pPr>
              <w:spacing w:before="0" w:after="0" w:line="240" w:lineRule="auto"/>
            </w:pPr>
            <w:r>
              <w:rPr>
                <w:rFonts w:ascii="Times New Roman" w:hAnsi="Times New Roman" w:eastAsia="Times New Roman"/>
                <w:color w:val="1F1F1F"/>
                <w:sz w:val="19"/>
              </w:rPr>
              <w:t>GSE23307</w:t>
            </w:r>
          </w:p>
        </w:tc>
        <w:tc>
          <w:tcPr>
            <w:tcW w:type="dxa" w:w="1700"/>
            <w:vAlign w:val="center"/>
          </w:tcPr>
          <w:p>
            <w:pPr>
              <w:spacing w:before="0" w:after="0" w:line="240" w:lineRule="auto"/>
            </w:pPr>
            <w:r>
              <w:rPr>
                <w:rFonts w:ascii="Times New Roman" w:hAnsi="Times New Roman" w:eastAsia="Times New Roman"/>
                <w:color w:val="1F1F1F"/>
                <w:sz w:val="19"/>
              </w:rPr>
              <w:t>Orthogonal perturbation support</w:t>
            </w:r>
          </w:p>
        </w:tc>
        <w:tc>
          <w:tcPr>
            <w:tcW w:type="dxa" w:w="2100"/>
            <w:vAlign w:val="center"/>
          </w:tcPr>
          <w:p>
            <w:pPr>
              <w:spacing w:before="0" w:after="0" w:line="240" w:lineRule="auto"/>
            </w:pPr>
            <w:r>
              <w:rPr>
                <w:rFonts w:ascii="Times New Roman" w:hAnsi="Times New Roman" w:eastAsia="Times New Roman"/>
                <w:color w:val="1F1F1F"/>
                <w:sz w:val="19"/>
              </w:rPr>
              <w:t>Paired profile within donor</w:t>
            </w:r>
          </w:p>
        </w:tc>
        <w:tc>
          <w:tcPr>
            <w:tcW w:type="dxa" w:w="3960"/>
            <w:vAlign w:val="center"/>
          </w:tcPr>
          <w:p>
            <w:pPr>
              <w:spacing w:before="0" w:after="0" w:line="240" w:lineRule="auto"/>
            </w:pPr>
            <w:r>
              <w:rPr>
                <w:rFonts w:ascii="Times New Roman" w:hAnsi="Times New Roman" w:eastAsia="Times New Roman"/>
                <w:color w:val="1F1F1F"/>
                <w:sz w:val="19"/>
              </w:rPr>
              <w:t>Descriptive IFN-beta response, n=2 donors</w:t>
            </w:r>
          </w:p>
        </w:tc>
      </w:tr>
    </w:tbl>
    <w:p>
      <w:pPr>
        <w:spacing w:after="60"/>
      </w:pPr>
    </w:p>
    <w:p>
      <w:pPr>
        <w:pStyle w:val="Heading1"/>
      </w:pPr>
      <w:r>
        <w:rPr>
          <w:rFonts w:ascii="Times New Roman" w:hAnsi="Times New Roman" w:eastAsia="Times New Roman"/>
          <w:color w:val="1F1F1F"/>
          <w:sz w:val="28"/>
        </w:rPr>
        <w:t>Supplementary Table S2 | Claim boundaries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rPr>
          <w:cantSplit/>
          <w:tblHeader w:val="true"/>
        </w:trPr>
        <w:tc>
          <w:tcPr>
            <w:tcW w:type="dxa" w:w="4680"/>
            <w:vAlign w:val="center"/>
            <w:shd w:fill="E8EEF5"/>
          </w:tcPr>
          <w:p>
            <w:pPr>
              <w:keepNext/>
              <w:spacing w:before="0" w:after="0" w:line="240" w:lineRule="auto"/>
            </w:pPr>
            <w:r>
              <w:rPr>
                <w:rFonts w:ascii="Times New Roman" w:hAnsi="Times New Roman" w:eastAsia="Times New Roman"/>
                <w:b/>
                <w:color w:val="1F1F1F"/>
                <w:sz w:val="19"/>
              </w:rPr>
              <w:t>Supported</w:t>
            </w:r>
          </w:p>
        </w:tc>
        <w:tc>
          <w:tcPr>
            <w:tcW w:type="dxa" w:w="4680"/>
            <w:vAlign w:val="center"/>
            <w:shd w:fill="E8EEF5"/>
          </w:tcPr>
          <w:p>
            <w:pPr>
              <w:keepNext/>
              <w:spacing w:before="0" w:after="0" w:line="240" w:lineRule="auto"/>
            </w:pPr>
            <w:r>
              <w:rPr>
                <w:rFonts w:ascii="Times New Roman" w:hAnsi="Times New Roman" w:eastAsia="Times New Roman"/>
                <w:b/>
                <w:color w:val="1F1F1F"/>
                <w:sz w:val="19"/>
              </w:rPr>
              <w:t>Not supported</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Disease-blind B_CONV/B_ASC analysis scaffold with quantified boundary sensitivity</w:t>
            </w:r>
          </w:p>
        </w:tc>
        <w:tc>
          <w:tcPr>
            <w:tcW w:type="dxa" w:w="4680"/>
            <w:vAlign w:val="center"/>
          </w:tcPr>
          <w:p>
            <w:pPr>
              <w:spacing w:before="0" w:after="0" w:line="240" w:lineRule="auto"/>
            </w:pPr>
            <w:r>
              <w:rPr>
                <w:rFonts w:ascii="Times New Roman" w:hAnsi="Times New Roman" w:eastAsia="Times New Roman"/>
                <w:color w:val="1F1F1F"/>
                <w:sz w:val="19"/>
              </w:rPr>
              <w:t>Universally reproducible B_CONV/B_ASC taxonomy or stable hard naive, memory or atypical subtypes</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Primary B_ASC contrast lacks statistical support</w:t>
            </w:r>
          </w:p>
        </w:tc>
        <w:tc>
          <w:tcPr>
            <w:tcW w:type="dxa" w:w="4680"/>
            <w:vAlign w:val="center"/>
          </w:tcPr>
          <w:p>
            <w:pPr>
              <w:spacing w:before="0" w:after="0" w:line="240" w:lineRule="auto"/>
            </w:pPr>
            <w:r>
              <w:rPr>
                <w:rFonts w:ascii="Times New Roman" w:hAnsi="Times New Roman" w:eastAsia="Times New Roman"/>
                <w:color w:val="1F1F1F"/>
                <w:sz w:val="19"/>
              </w:rPr>
              <w:t>General B_ASC expansion in SLE</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Replicated IFN/ISG remodeling within B_CONV</w:t>
            </w:r>
          </w:p>
        </w:tc>
        <w:tc>
          <w:tcPr>
            <w:tcW w:type="dxa" w:w="4680"/>
            <w:vAlign w:val="center"/>
          </w:tcPr>
          <w:p>
            <w:pPr>
              <w:spacing w:before="0" w:after="0" w:line="240" w:lineRule="auto"/>
            </w:pPr>
            <w:r>
              <w:rPr>
                <w:rFonts w:ascii="Times New Roman" w:hAnsi="Times New Roman" w:eastAsia="Times New Roman"/>
                <w:color w:val="1F1F1F"/>
                <w:sz w:val="19"/>
              </w:rPr>
              <w:t>Genome-wide shared disease transcriptome</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ULM STAT1/STAT2 activity concordant across three contrasts</w:t>
            </w:r>
          </w:p>
        </w:tc>
        <w:tc>
          <w:tcPr>
            <w:tcW w:type="dxa" w:w="4680"/>
            <w:vAlign w:val="center"/>
          </w:tcPr>
          <w:p>
            <w:pPr>
              <w:spacing w:before="0" w:after="0" w:line="240" w:lineRule="auto"/>
            </w:pPr>
            <w:r>
              <w:rPr>
                <w:rFonts w:ascii="Times New Roman" w:hAnsi="Times New Roman" w:eastAsia="Times New Roman"/>
                <w:color w:val="1F1F1F"/>
                <w:sz w:val="19"/>
              </w:rPr>
              <w:t>Causal TF activation or direct binding</w:t>
            </w:r>
          </w:p>
        </w:tc>
      </w:tr>
      <w:tr>
        <w:trPr>
          <w:cantSplit/>
        </w:trPr>
        <w:tc>
          <w:tcPr>
            <w:tcW w:type="dxa" w:w="4680"/>
            <w:vAlign w:val="center"/>
          </w:tcPr>
          <w:p>
            <w:pPr>
              <w:spacing w:before="0" w:after="0" w:line="240" w:lineRule="auto"/>
            </w:pPr>
            <w:r>
              <w:rPr>
                <w:rFonts w:ascii="Times New Roman" w:hAnsi="Times New Roman" w:eastAsia="Times New Roman"/>
                <w:color w:val="1F1F1F"/>
                <w:sz w:val="19"/>
              </w:rPr>
              <w:t>IFN-centred response evidence</w:t>
            </w:r>
          </w:p>
        </w:tc>
        <w:tc>
          <w:tcPr>
            <w:tcW w:type="dxa" w:w="4680"/>
            <w:vAlign w:val="center"/>
          </w:tcPr>
          <w:p>
            <w:pPr>
              <w:spacing w:before="0" w:after="0" w:line="240" w:lineRule="auto"/>
            </w:pPr>
            <w:r>
              <w:rPr>
                <w:rFonts w:ascii="Times New Roman" w:hAnsi="Times New Roman" w:eastAsia="Times New Roman"/>
                <w:color w:val="1F1F1F"/>
                <w:sz w:val="19"/>
              </w:rPr>
              <w:t>A unique initiating IFN ligand in SLE</w:t>
            </w:r>
          </w:p>
        </w:tc>
      </w:tr>
    </w:tbl>
    <w:p>
      <w:pPr>
        <w:spacing w:after="60"/>
      </w:pPr>
    </w:p>
    <w:p>
      <w:pPr>
        <w:pStyle w:val="Heading1"/>
      </w:pPr>
      <w:r>
        <w:rPr>
          <w:rFonts w:ascii="Times New Roman" w:hAnsi="Times New Roman" w:eastAsia="Times New Roman"/>
          <w:color w:val="1F1F1F"/>
          <w:sz w:val="28"/>
        </w:rPr>
        <w:t>Supplementary Table S3 | Quantitative anchors and prespecified boundaries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570"/>
        <w:gridCol w:w="5790"/>
      </w:tblGrid>
      <w:tr>
        <w:trPr>
          <w:cantSplit/>
          <w:tblHeader w:val="true"/>
        </w:trPr>
        <w:tc>
          <w:tcPr>
            <w:tcW w:type="dxa" w:w="3570"/>
            <w:vAlign w:val="center"/>
            <w:shd w:fill="E8EEF5"/>
          </w:tcPr>
          <w:p>
            <w:pPr>
              <w:keepNext/>
              <w:spacing w:before="0" w:after="0" w:line="240" w:lineRule="auto"/>
            </w:pPr>
            <w:r>
              <w:rPr>
                <w:rFonts w:ascii="Times New Roman" w:hAnsi="Times New Roman" w:eastAsia="Times New Roman"/>
                <w:b/>
                <w:color w:val="1F1F1F"/>
                <w:sz w:val="19"/>
              </w:rPr>
              <w:t>Analysis</w:t>
            </w:r>
          </w:p>
        </w:tc>
        <w:tc>
          <w:tcPr>
            <w:tcW w:type="dxa" w:w="5790"/>
            <w:vAlign w:val="center"/>
            <w:shd w:fill="E8EEF5"/>
          </w:tcPr>
          <w:p>
            <w:pPr>
              <w:keepNext/>
              <w:spacing w:before="0" w:after="0" w:line="240" w:lineRule="auto"/>
            </w:pPr>
            <w:r>
              <w:rPr>
                <w:rFonts w:ascii="Times New Roman" w:hAnsi="Times New Roman" w:eastAsia="Times New Roman"/>
                <w:b/>
                <w:color w:val="1F1F1F"/>
                <w:sz w:val="19"/>
              </w:rPr>
              <w:t>Result</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Frozen-representation identity policy</w:t>
            </w:r>
          </w:p>
        </w:tc>
        <w:tc>
          <w:tcPr>
            <w:tcW w:type="dxa" w:w="5790"/>
            <w:vAlign w:val="center"/>
          </w:tcPr>
          <w:p>
            <w:pPr>
              <w:spacing w:before="0" w:after="0" w:line="240" w:lineRule="auto"/>
            </w:pPr>
            <w:r>
              <w:rPr>
                <w:rFonts w:ascii="Times New Roman" w:hAnsi="Times New Roman" w:eastAsia="Times New Roman"/>
                <w:color w:val="1F1F1F"/>
                <w:sz w:val="19"/>
              </w:rPr>
              <w:t>minimum mapped ARI 0.990; minimum agreement 0.9998; minimum state-median Jaccard 0.991</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End-to-end identity sensitivity</w:t>
            </w:r>
          </w:p>
        </w:tc>
        <w:tc>
          <w:tcPr>
            <w:tcW w:type="dxa" w:w="5790"/>
            <w:vAlign w:val="center"/>
          </w:tcPr>
          <w:p>
            <w:pPr>
              <w:spacing w:before="0" w:after="0" w:line="240" w:lineRule="auto"/>
            </w:pPr>
            <w:r>
              <w:rPr>
                <w:rFonts w:ascii="Times New Roman" w:hAnsi="Times New Roman" w:eastAsia="Times New Roman"/>
                <w:color w:val="1F1F1F"/>
                <w:sz w:val="19"/>
              </w:rPr>
              <w:t>prespecified criterion not met; minimum mapped ARI 0.930; minimum agreement 0.9988; B_ASC median Jaccard 0.930 below 0.95 criterion</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Boundary propagation</w:t>
            </w:r>
          </w:p>
        </w:tc>
        <w:tc>
          <w:tcPr>
            <w:tcW w:type="dxa" w:w="5790"/>
            <w:vAlign w:val="center"/>
          </w:tcPr>
          <w:p>
            <w:pPr>
              <w:spacing w:before="0" w:after="0" w:line="240" w:lineRule="auto"/>
            </w:pPr>
            <w:r>
              <w:rPr>
                <w:rFonts w:ascii="Times New Roman" w:hAnsi="Times New Roman" w:eastAsia="Times New Roman"/>
                <w:color w:val="1F1F1F"/>
                <w:sz w:val="19"/>
              </w:rPr>
              <w:t>primary B_ASC odds-ratio range 0.896-0.967, all intervals include one; primary B_CONV IFN/ISG range 0.836-0.845, all intervals above zero</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Primary B_ASC composition</w:t>
            </w:r>
          </w:p>
        </w:tc>
        <w:tc>
          <w:tcPr>
            <w:tcW w:type="dxa" w:w="5790"/>
            <w:vAlign w:val="center"/>
          </w:tcPr>
          <w:p>
            <w:pPr>
              <w:spacing w:before="0" w:after="0" w:line="240" w:lineRule="auto"/>
            </w:pPr>
            <w:r>
              <w:rPr>
                <w:rFonts w:ascii="Times New Roman" w:hAnsi="Times New Roman" w:eastAsia="Times New Roman"/>
                <w:color w:val="1F1F1F"/>
                <w:sz w:val="19"/>
              </w:rPr>
              <w:t>43 controls and 47 source-defined managed SLE; odds ratio 0.947; 95% CI 0.636-1.410; P=0.787</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GSE174188 primary IFN/ISG</w:t>
            </w:r>
          </w:p>
        </w:tc>
        <w:tc>
          <w:tcPr>
            <w:tcW w:type="dxa" w:w="5790"/>
            <w:vAlign w:val="center"/>
          </w:tcPr>
          <w:p>
            <w:pPr>
              <w:spacing w:before="0" w:after="0" w:line="240" w:lineRule="auto"/>
            </w:pPr>
            <w:r>
              <w:rPr>
                <w:rFonts w:ascii="Times New Roman" w:hAnsi="Times New Roman" w:eastAsia="Times New Roman"/>
                <w:color w:val="1F1F1F"/>
                <w:sz w:val="19"/>
              </w:rPr>
              <w:t>effect 0.837; 95% CI 0.525-1.148; q=2.98 x 10^-6</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GSE174188 donor-nonoverlap IFN/ISG</w:t>
            </w:r>
          </w:p>
        </w:tc>
        <w:tc>
          <w:tcPr>
            <w:tcW w:type="dxa" w:w="5790"/>
            <w:vAlign w:val="center"/>
          </w:tcPr>
          <w:p>
            <w:pPr>
              <w:spacing w:before="0" w:after="0" w:line="240" w:lineRule="auto"/>
            </w:pPr>
            <w:r>
              <w:rPr>
                <w:rFonts w:ascii="Times New Roman" w:hAnsi="Times New Roman" w:eastAsia="Times New Roman"/>
                <w:color w:val="1F1F1F"/>
                <w:sz w:val="19"/>
              </w:rPr>
              <w:t>effect 1.086; q=3.61 x 10^-4</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GSE135779 childhood IFN/ISG</w:t>
            </w:r>
          </w:p>
        </w:tc>
        <w:tc>
          <w:tcPr>
            <w:tcW w:type="dxa" w:w="5790"/>
            <w:vAlign w:val="center"/>
          </w:tcPr>
          <w:p>
            <w:pPr>
              <w:spacing w:before="0" w:after="0" w:line="240" w:lineRule="auto"/>
            </w:pPr>
            <w:r>
              <w:rPr>
                <w:rFonts w:ascii="Times New Roman" w:hAnsi="Times New Roman" w:eastAsia="Times New Roman"/>
                <w:color w:val="1F1F1F"/>
                <w:sz w:val="19"/>
              </w:rPr>
              <w:t>effect 1.042; 95% CI 0.681-1.402; q=2.98 x 10^-6</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Cross-dataset genome-wide agreement</w:t>
            </w:r>
          </w:p>
        </w:tc>
        <w:tc>
          <w:tcPr>
            <w:tcW w:type="dxa" w:w="5790"/>
            <w:vAlign w:val="center"/>
          </w:tcPr>
          <w:p>
            <w:pPr>
              <w:spacing w:before="0" w:after="0" w:line="240" w:lineRule="auto"/>
            </w:pPr>
            <w:r>
              <w:rPr>
                <w:rFonts w:ascii="Times New Roman" w:hAnsi="Times New Roman" w:eastAsia="Times New Roman"/>
                <w:color w:val="1F1F1F"/>
                <w:sz w:val="19"/>
              </w:rPr>
              <w:t>4,410 genes; Spearman rho=0.026</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M5911 enrichment</w:t>
            </w:r>
          </w:p>
        </w:tc>
        <w:tc>
          <w:tcPr>
            <w:tcW w:type="dxa" w:w="5790"/>
            <w:vAlign w:val="center"/>
          </w:tcPr>
          <w:p>
            <w:pPr>
              <w:spacing w:before="0" w:after="0" w:line="240" w:lineRule="auto"/>
            </w:pPr>
            <w:r>
              <w:rPr>
                <w:rFonts w:ascii="Times New Roman" w:hAnsi="Times New Roman" w:eastAsia="Times New Roman"/>
                <w:color w:val="1F1F1F"/>
                <w:sz w:val="19"/>
              </w:rPr>
              <w:t>NES 3.187, 3.050 and 3.527</w:t>
            </w:r>
          </w:p>
        </w:tc>
      </w:tr>
      <w:tr>
        <w:trPr>
          <w:cantSplit/>
        </w:trPr>
        <w:tc>
          <w:tcPr>
            <w:tcW w:type="dxa" w:w="3570"/>
            <w:vAlign w:val="center"/>
          </w:tcPr>
          <w:p>
            <w:pPr>
              <w:spacing w:before="0" w:after="0" w:line="240" w:lineRule="auto"/>
            </w:pPr>
            <w:r>
              <w:rPr>
                <w:rFonts w:ascii="Times New Roman" w:hAnsi="Times New Roman" w:eastAsia="Times New Roman"/>
                <w:color w:val="1F1F1F"/>
                <w:sz w:val="19"/>
              </w:rPr>
              <w:t>GSE23307 perturbation</w:t>
            </w:r>
          </w:p>
        </w:tc>
        <w:tc>
          <w:tcPr>
            <w:tcW w:type="dxa" w:w="5790"/>
            <w:vAlign w:val="center"/>
          </w:tcPr>
          <w:p>
            <w:pPr>
              <w:spacing w:before="0" w:after="0" w:line="240" w:lineRule="auto"/>
            </w:pPr>
            <w:r>
              <w:rPr>
                <w:rFonts w:ascii="Times New Roman" w:hAnsi="Times New Roman" w:eastAsia="Times New Roman"/>
                <w:color w:val="1F1F1F"/>
                <w:sz w:val="19"/>
              </w:rPr>
              <w:t>donor effects 3.294 and 3.666; 12/12 genes positive in each</w:t>
            </w:r>
          </w:p>
        </w:tc>
      </w:tr>
    </w:tbl>
    <w:p>
      <w:pPr>
        <w:spacing w:after="60"/>
      </w:pPr>
    </w:p>
    <w:p>
      <w:pPr>
        <w:pStyle w:val="Heading1"/>
      </w:pPr>
      <w:r>
        <w:rPr>
          <w:rFonts w:ascii="Times New Roman" w:hAnsi="Times New Roman" w:eastAsia="Times New Roman"/>
          <w:color w:val="1F1F1F"/>
          <w:sz w:val="28"/>
        </w:rPr>
        <w:t>Supplementary Table S4 | Regulator-sensitivity summaries</w:t>
      </w:r>
    </w:p>
    <w:p>
      <w:pPr>
        <w:widowControl/>
      </w:pPr>
      <w:r>
        <w:rPr>
          <w:rFonts w:ascii="Times New Roman" w:hAnsi="Times New Roman" w:eastAsia="Times New Roman"/>
          <w:b/>
          <w:color w:val="1F1F1F"/>
          <w:sz w:val="21"/>
        </w:rPr>
        <w:t>a, Correlation-aware core-regulator sensitivity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1100"/>
        <w:gridCol w:w="1350"/>
        <w:gridCol w:w="2100"/>
        <w:gridCol w:w="1250"/>
        <w:gridCol w:w="1160"/>
      </w:tblGrid>
      <w:tr>
        <w:trPr>
          <w:cantSplit/>
          <w:tblHeader w:val="true"/>
        </w:trPr>
        <w:tc>
          <w:tcPr>
            <w:tcW w:type="dxa" w:w="2400"/>
            <w:vAlign w:val="center"/>
            <w:shd w:fill="E8EEF5"/>
          </w:tcPr>
          <w:p>
            <w:pPr>
              <w:keepNext/>
              <w:spacing w:before="0" w:after="0" w:line="240" w:lineRule="auto"/>
            </w:pPr>
            <w:r>
              <w:rPr>
                <w:rFonts w:ascii="Times New Roman" w:hAnsi="Times New Roman" w:eastAsia="Times New Roman"/>
                <w:b/>
                <w:color w:val="1F1F1F"/>
                <w:sz w:val="17"/>
              </w:rPr>
              <w:t>Contrast</w:t>
            </w:r>
          </w:p>
        </w:tc>
        <w:tc>
          <w:tcPr>
            <w:tcW w:type="dxa" w:w="1100"/>
            <w:vAlign w:val="center"/>
            <w:shd w:fill="E8EEF5"/>
          </w:tcPr>
          <w:p>
            <w:pPr>
              <w:keepNext/>
              <w:spacing w:before="0" w:after="0" w:line="240" w:lineRule="auto"/>
            </w:pPr>
            <w:r>
              <w:rPr>
                <w:rFonts w:ascii="Times New Roman" w:hAnsi="Times New Roman" w:eastAsia="Times New Roman"/>
                <w:b/>
                <w:color w:val="1F1F1F"/>
                <w:sz w:val="17"/>
              </w:rPr>
              <w:t>Regulator</w:t>
            </w:r>
          </w:p>
        </w:tc>
        <w:tc>
          <w:tcPr>
            <w:tcW w:type="dxa" w:w="1350"/>
            <w:vAlign w:val="center"/>
            <w:shd w:fill="E8EEF5"/>
          </w:tcPr>
          <w:p>
            <w:pPr>
              <w:keepNext/>
              <w:spacing w:before="0" w:after="0" w:line="240" w:lineRule="auto"/>
            </w:pPr>
            <w:r>
              <w:rPr>
                <w:rFonts w:ascii="Times New Roman" w:hAnsi="Times New Roman" w:eastAsia="Times New Roman"/>
                <w:b/>
                <w:color w:val="1F1F1F"/>
                <w:sz w:val="17"/>
              </w:rPr>
              <w:t>Matched targets</w:t>
            </w:r>
          </w:p>
        </w:tc>
        <w:tc>
          <w:tcPr>
            <w:tcW w:type="dxa" w:w="2100"/>
            <w:vAlign w:val="center"/>
            <w:shd w:fill="E8EEF5"/>
          </w:tcPr>
          <w:p>
            <w:pPr>
              <w:keepNext/>
              <w:spacing w:before="0" w:after="0" w:line="240" w:lineRule="auto"/>
            </w:pPr>
            <w:r>
              <w:rPr>
                <w:rFonts w:ascii="Times New Roman" w:hAnsi="Times New Roman" w:eastAsia="Times New Roman"/>
                <w:b/>
                <w:color w:val="1F1F1F"/>
                <w:sz w:val="17"/>
              </w:rPr>
              <w:t>Inter-gene correlation</w:t>
            </w:r>
          </w:p>
        </w:tc>
        <w:tc>
          <w:tcPr>
            <w:tcW w:type="dxa" w:w="1250"/>
            <w:vAlign w:val="center"/>
            <w:shd w:fill="E8EEF5"/>
          </w:tcPr>
          <w:p>
            <w:pPr>
              <w:keepNext/>
              <w:spacing w:before="0" w:after="0" w:line="240" w:lineRule="auto"/>
            </w:pPr>
            <w:r>
              <w:rPr>
                <w:rFonts w:ascii="Times New Roman" w:hAnsi="Times New Roman" w:eastAsia="Times New Roman"/>
                <w:b/>
                <w:color w:val="1F1F1F"/>
                <w:sz w:val="17"/>
              </w:rPr>
              <w:t>CAMERA BH q</w:t>
            </w:r>
          </w:p>
        </w:tc>
        <w:tc>
          <w:tcPr>
            <w:tcW w:type="dxa" w:w="1160"/>
            <w:vAlign w:val="center"/>
            <w:shd w:fill="E8EEF5"/>
          </w:tcPr>
          <w:p>
            <w:pPr>
              <w:keepNext/>
              <w:spacing w:before="0" w:after="0" w:line="240" w:lineRule="auto"/>
            </w:pPr>
            <w:r>
              <w:rPr>
                <w:rFonts w:ascii="Times New Roman" w:hAnsi="Times New Roman" w:eastAsia="Times New Roman"/>
                <w:b/>
                <w:color w:val="1F1F1F"/>
                <w:sz w:val="17"/>
              </w:rPr>
              <w:t>FRY BH q</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primary</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98</w:t>
            </w:r>
          </w:p>
        </w:tc>
        <w:tc>
          <w:tcPr>
            <w:tcW w:type="dxa" w:w="2100"/>
            <w:vAlign w:val="center"/>
          </w:tcPr>
          <w:p>
            <w:pPr>
              <w:spacing w:before="0" w:after="0" w:line="240" w:lineRule="auto"/>
            </w:pPr>
            <w:r>
              <w:rPr>
                <w:rFonts w:ascii="Times New Roman" w:hAnsi="Times New Roman" w:eastAsia="Times New Roman"/>
                <w:color w:val="1F1F1F"/>
                <w:sz w:val="17"/>
              </w:rPr>
              <w:t>0.0362</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6.043e-06</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primary</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14</w:t>
            </w:r>
          </w:p>
        </w:tc>
        <w:tc>
          <w:tcPr>
            <w:tcW w:type="dxa" w:w="2100"/>
            <w:vAlign w:val="center"/>
          </w:tcPr>
          <w:p>
            <w:pPr>
              <w:spacing w:before="0" w:after="0" w:line="240" w:lineRule="auto"/>
            </w:pPr>
            <w:r>
              <w:rPr>
                <w:rFonts w:ascii="Times New Roman" w:hAnsi="Times New Roman" w:eastAsia="Times New Roman"/>
                <w:color w:val="1F1F1F"/>
                <w:sz w:val="17"/>
              </w:rPr>
              <w:t>0.1225</w:t>
            </w:r>
          </w:p>
        </w:tc>
        <w:tc>
          <w:tcPr>
            <w:tcW w:type="dxa" w:w="1250"/>
            <w:vAlign w:val="center"/>
          </w:tcPr>
          <w:p>
            <w:pPr>
              <w:spacing w:before="0" w:after="0" w:line="240" w:lineRule="auto"/>
            </w:pPr>
            <w:r>
              <w:rPr>
                <w:rFonts w:ascii="Times New Roman" w:hAnsi="Times New Roman" w:eastAsia="Times New Roman"/>
                <w:color w:val="1F1F1F"/>
                <w:sz w:val="17"/>
              </w:rPr>
              <w:t>0.1355</w:t>
            </w:r>
          </w:p>
        </w:tc>
        <w:tc>
          <w:tcPr>
            <w:tcW w:type="dxa" w:w="1160"/>
            <w:vAlign w:val="center"/>
          </w:tcPr>
          <w:p>
            <w:pPr>
              <w:spacing w:before="0" w:after="0" w:line="240" w:lineRule="auto"/>
            </w:pPr>
            <w:r>
              <w:rPr>
                <w:rFonts w:ascii="Times New Roman" w:hAnsi="Times New Roman" w:eastAsia="Times New Roman"/>
                <w:color w:val="1F1F1F"/>
                <w:sz w:val="17"/>
              </w:rPr>
              <w:t>4.909e-05</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donor-nonoverlap</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129</w:t>
            </w:r>
          </w:p>
        </w:tc>
        <w:tc>
          <w:tcPr>
            <w:tcW w:type="dxa" w:w="2100"/>
            <w:vAlign w:val="center"/>
          </w:tcPr>
          <w:p>
            <w:pPr>
              <w:spacing w:before="0" w:after="0" w:line="240" w:lineRule="auto"/>
            </w:pPr>
            <w:r>
              <w:rPr>
                <w:rFonts w:ascii="Times New Roman" w:hAnsi="Times New Roman" w:eastAsia="Times New Roman"/>
                <w:color w:val="1F1F1F"/>
                <w:sz w:val="17"/>
              </w:rPr>
              <w:t>0.0209</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8.49e-06</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GSE174188 donor-nonoverlap</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19</w:t>
            </w:r>
          </w:p>
        </w:tc>
        <w:tc>
          <w:tcPr>
            <w:tcW w:type="dxa" w:w="2100"/>
            <w:vAlign w:val="center"/>
          </w:tcPr>
          <w:p>
            <w:pPr>
              <w:spacing w:before="0" w:after="0" w:line="240" w:lineRule="auto"/>
            </w:pPr>
            <w:r>
              <w:rPr>
                <w:rFonts w:ascii="Times New Roman" w:hAnsi="Times New Roman" w:eastAsia="Times New Roman"/>
                <w:color w:val="1F1F1F"/>
                <w:sz w:val="17"/>
              </w:rPr>
              <w:t>0.1191</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4.277e-07</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GSE135779 childhood</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161</w:t>
            </w:r>
          </w:p>
        </w:tc>
        <w:tc>
          <w:tcPr>
            <w:tcW w:type="dxa" w:w="2100"/>
            <w:vAlign w:val="center"/>
          </w:tcPr>
          <w:p>
            <w:pPr>
              <w:spacing w:before="0" w:after="0" w:line="240" w:lineRule="auto"/>
            </w:pPr>
            <w:r>
              <w:rPr>
                <w:rFonts w:ascii="Times New Roman" w:hAnsi="Times New Roman" w:eastAsia="Times New Roman"/>
                <w:color w:val="1F1F1F"/>
                <w:sz w:val="17"/>
              </w:rPr>
              <w:t>0.0301</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2.685e-05</w:t>
            </w:r>
          </w:p>
        </w:tc>
      </w:tr>
      <w:tr>
        <w:trPr>
          <w:cantSplit/>
        </w:trPr>
        <w:tc>
          <w:tcPr>
            <w:tcW w:type="dxa" w:w="2400"/>
            <w:vAlign w:val="center"/>
          </w:tcPr>
          <w:p>
            <w:pPr>
              <w:spacing w:before="0" w:after="0" w:line="240" w:lineRule="auto"/>
            </w:pPr>
            <w:r>
              <w:rPr>
                <w:rFonts w:ascii="Times New Roman" w:hAnsi="Times New Roman" w:eastAsia="Times New Roman"/>
                <w:color w:val="1F1F1F"/>
                <w:sz w:val="17"/>
              </w:rPr>
              <w:t>GSE135779 childhood</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20</w:t>
            </w:r>
          </w:p>
        </w:tc>
        <w:tc>
          <w:tcPr>
            <w:tcW w:type="dxa" w:w="2100"/>
            <w:vAlign w:val="center"/>
          </w:tcPr>
          <w:p>
            <w:pPr>
              <w:spacing w:before="0" w:after="0" w:line="240" w:lineRule="auto"/>
            </w:pPr>
            <w:r>
              <w:rPr>
                <w:rFonts w:ascii="Times New Roman" w:hAnsi="Times New Roman" w:eastAsia="Times New Roman"/>
                <w:color w:val="1F1F1F"/>
                <w:sz w:val="17"/>
              </w:rPr>
              <w:t>0.1223</w:t>
            </w:r>
          </w:p>
        </w:tc>
        <w:tc>
          <w:tcPr>
            <w:tcW w:type="dxa" w:w="1250"/>
            <w:vAlign w:val="center"/>
          </w:tcPr>
          <w:p>
            <w:pPr>
              <w:spacing w:before="0" w:after="0" w:line="240" w:lineRule="auto"/>
            </w:pPr>
            <w:r>
              <w:rPr>
                <w:rFonts w:ascii="Times New Roman" w:hAnsi="Times New Roman" w:eastAsia="Times New Roman"/>
                <w:color w:val="1F1F1F"/>
                <w:sz w:val="17"/>
              </w:rPr>
              <w:t>0.03026</w:t>
            </w:r>
          </w:p>
        </w:tc>
        <w:tc>
          <w:tcPr>
            <w:tcW w:type="dxa" w:w="1160"/>
            <w:vAlign w:val="center"/>
          </w:tcPr>
          <w:p>
            <w:pPr>
              <w:spacing w:before="0" w:after="0" w:line="240" w:lineRule="auto"/>
            </w:pPr>
            <w:r>
              <w:rPr>
                <w:rFonts w:ascii="Times New Roman" w:hAnsi="Times New Roman" w:eastAsia="Times New Roman"/>
                <w:color w:val="1F1F1F"/>
                <w:sz w:val="17"/>
              </w:rPr>
              <w:t>1.231e-05</w:t>
            </w:r>
          </w:p>
        </w:tc>
      </w:tr>
    </w:tbl>
    <w:p>
      <w:pPr>
        <w:spacing w:after="60"/>
      </w:pPr>
    </w:p>
    <w:p>
      <w:pPr>
        <w:widowControl/>
      </w:pPr>
      <w:r>
        <w:rPr>
          <w:rFonts w:ascii="Times New Roman" w:hAnsi="Times New Roman" w:eastAsia="Times New Roman"/>
          <w:color w:val="1F1F1F"/>
          <w:sz w:val="21"/>
        </w:rPr>
        <w:t>CAMERA and FRY directions were positive in all six tests. CAMERA passed BH correction in five of six; the explicit exception was GSE174188 primary STAT2 (q=0.1355). FRY passed BH correction in all six.</w:t>
      </w:r>
    </w:p>
    <w:p>
      <w:pPr>
        <w:widowControl/>
      </w:pPr>
      <w:r>
        <w:rPr>
          <w:rFonts w:ascii="Times New Roman" w:hAnsi="Times New Roman" w:eastAsia="Times New Roman"/>
          <w:b/>
          <w:color w:val="1F1F1F"/>
          <w:sz w:val="21"/>
        </w:rPr>
        <w:t>b, IFN-overlap-depletion summary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000"/>
        <w:gridCol w:w="1300"/>
        <w:gridCol w:w="1200"/>
        <w:gridCol w:w="1400"/>
        <w:gridCol w:w="3460"/>
      </w:tblGrid>
      <w:tr>
        <w:trPr>
          <w:cantSplit/>
          <w:tblHeader w:val="true"/>
        </w:trPr>
        <w:tc>
          <w:tcPr>
            <w:tcW w:type="dxa" w:w="2000"/>
            <w:vAlign w:val="center"/>
            <w:shd w:fill="E8EEF5"/>
          </w:tcPr>
          <w:p>
            <w:pPr>
              <w:keepNext/>
              <w:spacing w:before="0" w:after="0" w:line="240" w:lineRule="auto"/>
            </w:pPr>
            <w:r>
              <w:rPr>
                <w:rFonts w:ascii="Times New Roman" w:hAnsi="Times New Roman" w:eastAsia="Times New Roman"/>
                <w:b/>
                <w:color w:val="1F1F1F"/>
                <w:sz w:val="19"/>
              </w:rPr>
              <w:t>Depletion</w:t>
            </w:r>
          </w:p>
        </w:tc>
        <w:tc>
          <w:tcPr>
            <w:tcW w:type="dxa" w:w="1300"/>
            <w:vAlign w:val="center"/>
            <w:shd w:fill="E8EEF5"/>
          </w:tcPr>
          <w:p>
            <w:pPr>
              <w:keepNext/>
              <w:spacing w:before="0" w:after="0" w:line="240" w:lineRule="auto"/>
            </w:pPr>
            <w:r>
              <w:rPr>
                <w:rFonts w:ascii="Times New Roman" w:hAnsi="Times New Roman" w:eastAsia="Times New Roman"/>
                <w:b/>
                <w:color w:val="1F1F1F"/>
                <w:sz w:val="19"/>
              </w:rPr>
              <w:t>Method</w:t>
            </w:r>
          </w:p>
        </w:tc>
        <w:tc>
          <w:tcPr>
            <w:tcW w:type="dxa" w:w="1200"/>
            <w:vAlign w:val="center"/>
            <w:shd w:fill="E8EEF5"/>
          </w:tcPr>
          <w:p>
            <w:pPr>
              <w:keepNext/>
              <w:spacing w:before="0" w:after="0" w:line="240" w:lineRule="auto"/>
            </w:pPr>
            <w:r>
              <w:rPr>
                <w:rFonts w:ascii="Times New Roman" w:hAnsi="Times New Roman" w:eastAsia="Times New Roman"/>
                <w:b/>
                <w:color w:val="1F1F1F"/>
                <w:sz w:val="19"/>
              </w:rPr>
              <w:t>Positive direction</w:t>
            </w:r>
          </w:p>
        </w:tc>
        <w:tc>
          <w:tcPr>
            <w:tcW w:type="dxa" w:w="1400"/>
            <w:vAlign w:val="center"/>
            <w:shd w:fill="E8EEF5"/>
          </w:tcPr>
          <w:p>
            <w:pPr>
              <w:keepNext/>
              <w:spacing w:before="0" w:after="0" w:line="240" w:lineRule="auto"/>
            </w:pPr>
            <w:r>
              <w:rPr>
                <w:rFonts w:ascii="Times New Roman" w:hAnsi="Times New Roman" w:eastAsia="Times New Roman"/>
                <w:b/>
                <w:color w:val="1F1F1F"/>
                <w:sz w:val="19"/>
              </w:rPr>
              <w:t>Dedicated q&lt;0.05</w:t>
            </w:r>
          </w:p>
        </w:tc>
        <w:tc>
          <w:tcPr>
            <w:tcW w:type="dxa" w:w="3460"/>
            <w:vAlign w:val="center"/>
            <w:shd w:fill="E8EEF5"/>
          </w:tcPr>
          <w:p>
            <w:pPr>
              <w:keepNext/>
              <w:spacing w:before="0" w:after="0" w:line="240" w:lineRule="auto"/>
            </w:pPr>
            <w:r>
              <w:rPr>
                <w:rFonts w:ascii="Times New Roman" w:hAnsi="Times New Roman" w:eastAsia="Times New Roman"/>
                <w:b/>
                <w:color w:val="1F1F1F"/>
                <w:sz w:val="19"/>
              </w:rPr>
              <w:t>Main qualification</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Prespecified 12-gene IFN/ISG arm</w:t>
            </w:r>
          </w:p>
        </w:tc>
        <w:tc>
          <w:tcPr>
            <w:tcW w:type="dxa" w:w="1300"/>
            <w:vAlign w:val="center"/>
          </w:tcPr>
          <w:p>
            <w:pPr>
              <w:spacing w:before="0" w:after="0" w:line="240" w:lineRule="auto"/>
            </w:pPr>
            <w:r>
              <w:rPr>
                <w:rFonts w:ascii="Times New Roman" w:hAnsi="Times New Roman" w:eastAsia="Times New Roman"/>
                <w:color w:val="1F1F1F"/>
                <w:sz w:val="19"/>
              </w:rPr>
              <w:t>ULM</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6/6</w:t>
            </w:r>
          </w:p>
        </w:tc>
        <w:tc>
          <w:tcPr>
            <w:tcW w:type="dxa" w:w="3460"/>
            <w:vAlign w:val="center"/>
          </w:tcPr>
          <w:p>
            <w:pPr>
              <w:spacing w:before="0" w:after="0" w:line="240" w:lineRule="auto"/>
            </w:pPr>
            <w:r>
              <w:rPr>
                <w:rFonts w:ascii="Times New Roman" w:hAnsi="Times New Roman" w:eastAsia="Times New Roman"/>
                <w:color w:val="1F1F1F"/>
                <w:sz w:val="19"/>
              </w:rPr>
              <w:t>Minimum slope retention 53.5%; all 95% confidence intervals above zero</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Prespecified 12-gene IFN/ISG arm</w:t>
            </w:r>
          </w:p>
        </w:tc>
        <w:tc>
          <w:tcPr>
            <w:tcW w:type="dxa" w:w="1300"/>
            <w:vAlign w:val="center"/>
          </w:tcPr>
          <w:p>
            <w:pPr>
              <w:spacing w:before="0" w:after="0" w:line="240" w:lineRule="auto"/>
            </w:pPr>
            <w:r>
              <w:rPr>
                <w:rFonts w:ascii="Times New Roman" w:hAnsi="Times New Roman" w:eastAsia="Times New Roman"/>
                <w:color w:val="1F1F1F"/>
                <w:sz w:val="19"/>
              </w:rPr>
              <w:t>CAMERA</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5/6</w:t>
            </w:r>
          </w:p>
        </w:tc>
        <w:tc>
          <w:tcPr>
            <w:tcW w:type="dxa" w:w="3460"/>
            <w:vAlign w:val="center"/>
          </w:tcPr>
          <w:p>
            <w:pPr>
              <w:spacing w:before="0" w:after="0" w:line="240" w:lineRule="auto"/>
            </w:pPr>
            <w:r>
              <w:rPr>
                <w:rFonts w:ascii="Times New Roman" w:hAnsi="Times New Roman" w:eastAsia="Times New Roman"/>
                <w:color w:val="1F1F1F"/>
                <w:sz w:val="19"/>
              </w:rPr>
              <w:t>Discovery STAT2 q=0.326</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Prespecified 12-gene IFN/ISG arm</w:t>
            </w:r>
          </w:p>
        </w:tc>
        <w:tc>
          <w:tcPr>
            <w:tcW w:type="dxa" w:w="1300"/>
            <w:vAlign w:val="center"/>
          </w:tcPr>
          <w:p>
            <w:pPr>
              <w:spacing w:before="0" w:after="0" w:line="240" w:lineRule="auto"/>
            </w:pPr>
            <w:r>
              <w:rPr>
                <w:rFonts w:ascii="Times New Roman" w:hAnsi="Times New Roman" w:eastAsia="Times New Roman"/>
                <w:color w:val="1F1F1F"/>
                <w:sz w:val="19"/>
              </w:rPr>
              <w:t>FRY</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6/6</w:t>
            </w:r>
          </w:p>
        </w:tc>
        <w:tc>
          <w:tcPr>
            <w:tcW w:type="dxa" w:w="3460"/>
            <w:vAlign w:val="center"/>
          </w:tcPr>
          <w:p>
            <w:pPr>
              <w:spacing w:before="0" w:after="0" w:line="240" w:lineRule="auto"/>
            </w:pPr>
            <w:r>
              <w:rPr>
                <w:rFonts w:ascii="Times New Roman" w:hAnsi="Times New Roman" w:eastAsia="Times New Roman"/>
                <w:color w:val="1F1F1F"/>
                <w:sz w:val="19"/>
              </w:rPr>
              <w:t>Direction and corrected support retained</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M5911</w:t>
            </w:r>
          </w:p>
        </w:tc>
        <w:tc>
          <w:tcPr>
            <w:tcW w:type="dxa" w:w="1300"/>
            <w:vAlign w:val="center"/>
          </w:tcPr>
          <w:p>
            <w:pPr>
              <w:spacing w:before="0" w:after="0" w:line="240" w:lineRule="auto"/>
            </w:pPr>
            <w:r>
              <w:rPr>
                <w:rFonts w:ascii="Times New Roman" w:hAnsi="Times New Roman" w:eastAsia="Times New Roman"/>
                <w:color w:val="1F1F1F"/>
                <w:sz w:val="19"/>
              </w:rPr>
              <w:t>ULM</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5/6</w:t>
            </w:r>
          </w:p>
        </w:tc>
        <w:tc>
          <w:tcPr>
            <w:tcW w:type="dxa" w:w="3460"/>
            <w:vAlign w:val="center"/>
          </w:tcPr>
          <w:p>
            <w:pPr>
              <w:spacing w:before="0" w:after="0" w:line="240" w:lineRule="auto"/>
            </w:pPr>
            <w:r>
              <w:rPr>
                <w:rFonts w:ascii="Times New Roman" w:hAnsi="Times New Roman" w:eastAsia="Times New Roman"/>
                <w:color w:val="1F1F1F"/>
                <w:sz w:val="19"/>
              </w:rPr>
              <w:t>Discovery STAT2 retained 8/14 targets; slope 0.391, 95% CI -0.745 to 1.526; q=0.500</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M5911</w:t>
            </w:r>
          </w:p>
        </w:tc>
        <w:tc>
          <w:tcPr>
            <w:tcW w:type="dxa" w:w="1300"/>
            <w:vAlign w:val="center"/>
          </w:tcPr>
          <w:p>
            <w:pPr>
              <w:spacing w:before="0" w:after="0" w:line="240" w:lineRule="auto"/>
            </w:pPr>
            <w:r>
              <w:rPr>
                <w:rFonts w:ascii="Times New Roman" w:hAnsi="Times New Roman" w:eastAsia="Times New Roman"/>
                <w:color w:val="1F1F1F"/>
                <w:sz w:val="19"/>
              </w:rPr>
              <w:t>CAMERA</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2/6</w:t>
            </w:r>
          </w:p>
        </w:tc>
        <w:tc>
          <w:tcPr>
            <w:tcW w:type="dxa" w:w="3460"/>
            <w:vAlign w:val="center"/>
          </w:tcPr>
          <w:p>
            <w:pPr>
              <w:spacing w:before="0" w:after="0" w:line="240" w:lineRule="auto"/>
            </w:pPr>
            <w:r>
              <w:rPr>
                <w:rFonts w:ascii="Times New Roman" w:hAnsi="Times New Roman" w:eastAsia="Times New Roman"/>
                <w:color w:val="1F1F1F"/>
                <w:sz w:val="19"/>
              </w:rPr>
              <w:t>Broad attenuation across contrasts; discovery STAT2 q=0.623</w:t>
            </w:r>
          </w:p>
        </w:tc>
      </w:tr>
      <w:tr>
        <w:trPr>
          <w:cantSplit/>
        </w:trPr>
        <w:tc>
          <w:tcPr>
            <w:tcW w:type="dxa" w:w="2000"/>
            <w:vAlign w:val="center"/>
          </w:tcPr>
          <w:p>
            <w:pPr>
              <w:spacing w:before="0" w:after="0" w:line="240" w:lineRule="auto"/>
            </w:pPr>
            <w:r>
              <w:rPr>
                <w:rFonts w:ascii="Times New Roman" w:hAnsi="Times New Roman" w:eastAsia="Times New Roman"/>
                <w:color w:val="1F1F1F"/>
                <w:sz w:val="19"/>
              </w:rPr>
              <w:t>M5911</w:t>
            </w:r>
          </w:p>
        </w:tc>
        <w:tc>
          <w:tcPr>
            <w:tcW w:type="dxa" w:w="1300"/>
            <w:vAlign w:val="center"/>
          </w:tcPr>
          <w:p>
            <w:pPr>
              <w:spacing w:before="0" w:after="0" w:line="240" w:lineRule="auto"/>
            </w:pPr>
            <w:r>
              <w:rPr>
                <w:rFonts w:ascii="Times New Roman" w:hAnsi="Times New Roman" w:eastAsia="Times New Roman"/>
                <w:color w:val="1F1F1F"/>
                <w:sz w:val="19"/>
              </w:rPr>
              <w:t>FRY</w:t>
            </w:r>
          </w:p>
        </w:tc>
        <w:tc>
          <w:tcPr>
            <w:tcW w:type="dxa" w:w="1200"/>
            <w:vAlign w:val="center"/>
          </w:tcPr>
          <w:p>
            <w:pPr>
              <w:spacing w:before="0" w:after="0" w:line="240" w:lineRule="auto"/>
            </w:pPr>
            <w:r>
              <w:rPr>
                <w:rFonts w:ascii="Times New Roman" w:hAnsi="Times New Roman" w:eastAsia="Times New Roman"/>
                <w:color w:val="1F1F1F"/>
                <w:sz w:val="19"/>
              </w:rPr>
              <w:t>6/6</w:t>
            </w:r>
          </w:p>
        </w:tc>
        <w:tc>
          <w:tcPr>
            <w:tcW w:type="dxa" w:w="1400"/>
            <w:vAlign w:val="center"/>
          </w:tcPr>
          <w:p>
            <w:pPr>
              <w:spacing w:before="0" w:after="0" w:line="240" w:lineRule="auto"/>
            </w:pPr>
            <w:r>
              <w:rPr>
                <w:rFonts w:ascii="Times New Roman" w:hAnsi="Times New Roman" w:eastAsia="Times New Roman"/>
                <w:color w:val="1F1F1F"/>
                <w:sz w:val="19"/>
              </w:rPr>
              <w:t>5/6</w:t>
            </w:r>
          </w:p>
        </w:tc>
        <w:tc>
          <w:tcPr>
            <w:tcW w:type="dxa" w:w="3460"/>
            <w:vAlign w:val="center"/>
          </w:tcPr>
          <w:p>
            <w:pPr>
              <w:spacing w:before="0" w:after="0" w:line="240" w:lineRule="auto"/>
            </w:pPr>
            <w:r>
              <w:rPr>
                <w:rFonts w:ascii="Times New Roman" w:hAnsi="Times New Roman" w:eastAsia="Times New Roman"/>
                <w:color w:val="1F1F1F"/>
                <w:sz w:val="19"/>
              </w:rPr>
              <w:t>Discovery STAT2 q=0.099</w:t>
            </w:r>
          </w:p>
        </w:tc>
      </w:tr>
    </w:tbl>
    <w:p>
      <w:pPr>
        <w:spacing w:after="60"/>
      </w:pPr>
    </w:p>
    <w:p>
      <w:pPr>
        <w:widowControl/>
      </w:pPr>
      <w:r>
        <w:rPr>
          <w:rFonts w:ascii="Times New Roman" w:hAnsi="Times New Roman" w:eastAsia="Times New Roman"/>
          <w:color w:val="1F1F1F"/>
          <w:sz w:val="21"/>
        </w:rPr>
        <w:t>All 11 depleted ULM models retaining at least ten targets preserved direction in every leave-one-target analysis. These sensitivities support robustness beyond the narrow 12-gene arm but not independence from the broader interferon-response transcriptome.</w:t>
      </w:r>
    </w:p>
    <w:p>
      <w:pPr>
        <w:pStyle w:val="Heading1"/>
      </w:pPr>
      <w:r>
        <w:rPr>
          <w:rFonts w:ascii="Times New Roman" w:hAnsi="Times New Roman" w:eastAsia="Times New Roman"/>
          <w:color w:val="1F1F1F"/>
          <w:sz w:val="28"/>
        </w:rPr>
        <w:t>Supplementary Table S5 | Selected figure source-data map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587"/>
        <w:gridCol w:w="5216"/>
        <w:gridCol w:w="2551"/>
      </w:tblGrid>
      <w:tr>
        <w:trPr>
          <w:cantSplit/>
          <w:tblHeader w:val="true"/>
        </w:trPr>
        <w:tc>
          <w:tcPr>
            <w:tcW w:type="dxa" w:w="1587"/>
            <w:vAlign w:val="center"/>
            <w:shd w:fill="E8EEF5"/>
          </w:tcPr>
          <w:p>
            <w:pPr>
              <w:keepNext/>
              <w:spacing w:before="0" w:after="0" w:line="240" w:lineRule="auto"/>
            </w:pPr>
            <w:r>
              <w:rPr>
                <w:rFonts w:ascii="Times New Roman" w:hAnsi="Times New Roman" w:eastAsia="Times New Roman"/>
                <w:b/>
                <w:color w:val="1F1F1F"/>
                <w:sz w:val="19"/>
              </w:rPr>
              <w:t>Figure</w:t>
            </w:r>
          </w:p>
        </w:tc>
        <w:tc>
          <w:tcPr>
            <w:tcW w:type="dxa" w:w="5216"/>
            <w:vAlign w:val="center"/>
            <w:shd w:fill="E8EEF5"/>
          </w:tcPr>
          <w:p>
            <w:pPr>
              <w:keepNext/>
              <w:spacing w:before="0" w:after="0" w:line="240" w:lineRule="auto"/>
            </w:pPr>
            <w:r>
              <w:rPr>
                <w:rFonts w:ascii="Times New Roman" w:hAnsi="Times New Roman" w:eastAsia="Times New Roman"/>
                <w:b/>
                <w:color w:val="1F1F1F"/>
                <w:sz w:val="19"/>
              </w:rPr>
              <w:t>Evidence basis</w:t>
            </w:r>
          </w:p>
        </w:tc>
        <w:tc>
          <w:tcPr>
            <w:tcW w:type="dxa" w:w="2551"/>
            <w:vAlign w:val="center"/>
            <w:shd w:fill="E8EEF5"/>
          </w:tcPr>
          <w:p>
            <w:pPr>
              <w:keepNext/>
              <w:spacing w:before="0" w:after="0" w:line="240" w:lineRule="auto"/>
            </w:pPr>
            <w:r>
              <w:rPr>
                <w:rFonts w:ascii="Times New Roman" w:hAnsi="Times New Roman" w:eastAsia="Times New Roman"/>
                <w:b/>
                <w:color w:val="1F1F1F"/>
                <w:sz w:val="19"/>
              </w:rPr>
              <w:t>Machine-readable source</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1</w:t>
            </w:r>
          </w:p>
        </w:tc>
        <w:tc>
          <w:tcPr>
            <w:tcW w:type="dxa" w:w="5216"/>
            <w:vAlign w:val="center"/>
          </w:tcPr>
          <w:p>
            <w:pPr>
              <w:spacing w:before="0" w:after="0" w:line="240" w:lineRule="auto"/>
            </w:pPr>
            <w:r>
              <w:rPr>
                <w:rFonts w:ascii="Times New Roman" w:hAnsi="Times New Roman" w:eastAsia="Times New Roman"/>
                <w:color w:val="1F1F1F"/>
                <w:sz w:val="19"/>
              </w:rPr>
              <w:t>Disease-blind identity stability, two-compartment adjudication and end-to-end B_ASC boundary</w:t>
            </w:r>
          </w:p>
        </w:tc>
        <w:tc>
          <w:tcPr>
            <w:tcW w:type="dxa" w:w="2551"/>
            <w:vAlign w:val="center"/>
          </w:tcPr>
          <w:p>
            <w:pPr>
              <w:spacing w:before="0" w:after="0" w:line="240" w:lineRule="auto"/>
            </w:pPr>
            <w:r>
              <w:rPr>
                <w:rFonts w:ascii="Times New Roman" w:hAnsi="Times New Roman" w:eastAsia="Times New Roman"/>
                <w:color w:val="1F1F1F"/>
                <w:sz w:val="19"/>
              </w:rPr>
              <w:t>Figure1_source_data.csv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2</w:t>
            </w:r>
          </w:p>
        </w:tc>
        <w:tc>
          <w:tcPr>
            <w:tcW w:type="dxa" w:w="5216"/>
            <w:vAlign w:val="center"/>
          </w:tcPr>
          <w:p>
            <w:pPr>
              <w:spacing w:before="0" w:after="0" w:line="240" w:lineRule="auto"/>
            </w:pPr>
            <w:r>
              <w:rPr>
                <w:rFonts w:ascii="Times New Roman" w:hAnsi="Times New Roman" w:eastAsia="Times New Roman"/>
                <w:color w:val="1F1F1F"/>
                <w:sz w:val="19"/>
              </w:rPr>
              <w:t>Sample-level composition in the 43-control/47-managed-SLE primary comparison</w:t>
            </w:r>
          </w:p>
        </w:tc>
        <w:tc>
          <w:tcPr>
            <w:tcW w:type="dxa" w:w="2551"/>
            <w:vAlign w:val="center"/>
          </w:tcPr>
          <w:p>
            <w:pPr>
              <w:spacing w:before="0" w:after="0" w:line="240" w:lineRule="auto"/>
            </w:pPr>
            <w:r>
              <w:rPr>
                <w:rFonts w:ascii="Times New Roman" w:hAnsi="Times New Roman" w:eastAsia="Times New Roman"/>
                <w:color w:val="1F1F1F"/>
                <w:sz w:val="19"/>
              </w:rPr>
              <w:t>Figure2_source_data.csv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3</w:t>
            </w:r>
          </w:p>
        </w:tc>
        <w:tc>
          <w:tcPr>
            <w:tcW w:type="dxa" w:w="5216"/>
            <w:vAlign w:val="center"/>
          </w:tcPr>
          <w:p>
            <w:pPr>
              <w:spacing w:before="0" w:after="0" w:line="240" w:lineRule="auto"/>
            </w:pPr>
            <w:r>
              <w:rPr>
                <w:rFonts w:ascii="Times New Roman" w:hAnsi="Times New Roman" w:eastAsia="Times New Roman"/>
                <w:color w:val="1F1F1F"/>
                <w:sz w:val="19"/>
              </w:rPr>
              <w:t>Raw-count pseudobulk transcription with explicit tested-gene symbols</w:t>
            </w:r>
          </w:p>
        </w:tc>
        <w:tc>
          <w:tcPr>
            <w:tcW w:type="dxa" w:w="2551"/>
            <w:vAlign w:val="center"/>
          </w:tcPr>
          <w:p>
            <w:pPr>
              <w:spacing w:before="0" w:after="0" w:line="240" w:lineRule="auto"/>
            </w:pPr>
            <w:r>
              <w:rPr>
                <w:rFonts w:ascii="Times New Roman" w:hAnsi="Times New Roman" w:eastAsia="Times New Roman"/>
                <w:color w:val="1F1F1F"/>
                <w:sz w:val="19"/>
              </w:rPr>
              <w:t>Figure3_source_data.csv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4</w:t>
            </w:r>
          </w:p>
        </w:tc>
        <w:tc>
          <w:tcPr>
            <w:tcW w:type="dxa" w:w="5216"/>
            <w:vAlign w:val="center"/>
          </w:tcPr>
          <w:p>
            <w:pPr>
              <w:spacing w:before="0" w:after="0" w:line="240" w:lineRule="auto"/>
            </w:pPr>
            <w:r>
              <w:rPr>
                <w:rFonts w:ascii="Times New Roman" w:hAnsi="Times New Roman" w:eastAsia="Times New Roman"/>
                <w:color w:val="1F1F1F"/>
                <w:sz w:val="19"/>
              </w:rPr>
              <w:t>Source-label-defined GSE135779 replication, gene-level coherence and required calibration boundary</w:t>
            </w:r>
          </w:p>
        </w:tc>
        <w:tc>
          <w:tcPr>
            <w:tcW w:type="dxa" w:w="2551"/>
            <w:vAlign w:val="center"/>
          </w:tcPr>
          <w:p>
            <w:pPr>
              <w:spacing w:before="0" w:after="0" w:line="240" w:lineRule="auto"/>
            </w:pPr>
            <w:r>
              <w:rPr>
                <w:rFonts w:ascii="Times New Roman" w:hAnsi="Times New Roman" w:eastAsia="Times New Roman"/>
                <w:color w:val="1F1F1F"/>
                <w:sz w:val="19"/>
              </w:rPr>
              <w:t>Figure4_source_data.csv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Figure 5</w:t>
            </w:r>
          </w:p>
        </w:tc>
        <w:tc>
          <w:tcPr>
            <w:tcW w:type="dxa" w:w="5216"/>
            <w:vAlign w:val="center"/>
          </w:tcPr>
          <w:p>
            <w:pPr>
              <w:spacing w:before="0" w:after="0" w:line="240" w:lineRule="auto"/>
            </w:pPr>
            <w:r>
              <w:rPr>
                <w:rFonts w:ascii="Times New Roman" w:hAnsi="Times New Roman" w:eastAsia="Times New Roman"/>
                <w:color w:val="1F1F1F"/>
                <w:sz w:val="19"/>
              </w:rPr>
              <w:t>Regulatory convergence, IFN-overlap-depletion ceiling and orthogonal response evidence</w:t>
            </w:r>
          </w:p>
        </w:tc>
        <w:tc>
          <w:tcPr>
            <w:tcW w:type="dxa" w:w="2551"/>
            <w:vAlign w:val="center"/>
          </w:tcPr>
          <w:p>
            <w:pPr>
              <w:spacing w:before="0" w:after="0" w:line="240" w:lineRule="auto"/>
            </w:pPr>
            <w:r>
              <w:rPr>
                <w:rFonts w:ascii="Times New Roman" w:hAnsi="Times New Roman" w:eastAsia="Times New Roman"/>
                <w:color w:val="1F1F1F"/>
                <w:sz w:val="19"/>
              </w:rPr>
              <w:t>Figure5_source_data.csv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Supplementary Figure S4</w:t>
            </w:r>
          </w:p>
        </w:tc>
        <w:tc>
          <w:tcPr>
            <w:tcW w:type="dxa" w:w="5216"/>
            <w:vAlign w:val="center"/>
          </w:tcPr>
          <w:p>
            <w:pPr>
              <w:spacing w:before="0" w:after="0" w:line="240" w:lineRule="auto"/>
            </w:pPr>
            <w:r>
              <w:rPr>
                <w:rFonts w:ascii="Times New Roman" w:hAnsi="Times New Roman" w:eastAsia="Times New Roman"/>
                <w:color w:val="1F1F1F"/>
                <w:sz w:val="19"/>
              </w:rPr>
              <w:t>End-to-end identity boundary and downstream propagation</w:t>
            </w:r>
          </w:p>
        </w:tc>
        <w:tc>
          <w:tcPr>
            <w:tcW w:type="dxa" w:w="2551"/>
            <w:vAlign w:val="center"/>
          </w:tcPr>
          <w:p>
            <w:pPr>
              <w:spacing w:before="0" w:after="0" w:line="240" w:lineRule="auto"/>
            </w:pPr>
            <w:r>
              <w:rPr>
                <w:rFonts w:ascii="Times New Roman" w:hAnsi="Times New Roman" w:eastAsia="Times New Roman"/>
                <w:color w:val="1F1F1F"/>
                <w:sz w:val="19"/>
              </w:rPr>
              <w:t>Supplementary_Figure_S4_source_data.csv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Supplementary Figure S8</w:t>
            </w:r>
          </w:p>
        </w:tc>
        <w:tc>
          <w:tcPr>
            <w:tcW w:type="dxa" w:w="5216"/>
            <w:vAlign w:val="center"/>
          </w:tcPr>
          <w:p>
            <w:pPr>
              <w:spacing w:before="0" w:after="0" w:line="240" w:lineRule="auto"/>
            </w:pPr>
            <w:r>
              <w:rPr>
                <w:rFonts w:ascii="Times New Roman" w:hAnsi="Times New Roman" w:eastAsia="Times New Roman"/>
                <w:color w:val="1F1F1F"/>
                <w:sz w:val="19"/>
              </w:rPr>
              <w:t>Corrected reference calibration and unresolved external transfer</w:t>
            </w:r>
          </w:p>
        </w:tc>
        <w:tc>
          <w:tcPr>
            <w:tcW w:type="dxa" w:w="2551"/>
            <w:vAlign w:val="center"/>
          </w:tcPr>
          <w:p>
            <w:pPr>
              <w:spacing w:before="0" w:after="0" w:line="240" w:lineRule="auto"/>
            </w:pPr>
            <w:r>
              <w:rPr>
                <w:rFonts w:ascii="Times New Roman" w:hAnsi="Times New Roman" w:eastAsia="Times New Roman"/>
                <w:color w:val="1F1F1F"/>
                <w:sz w:val="19"/>
              </w:rPr>
              <w:t>Supplementary_Figure_S8_source_data.csv</w:t>
            </w:r>
          </w:p>
        </w:tc>
      </w:tr>
      <w:tr>
        <w:trPr>
          <w:cantSplit/>
        </w:trPr>
        <w:tc>
          <w:tcPr>
            <w:tcW w:type="dxa" w:w="1587"/>
            <w:vAlign w:val="center"/>
          </w:tcPr>
          <w:p>
            <w:pPr>
              <w:spacing w:before="0" w:after="0" w:line="240" w:lineRule="auto"/>
            </w:pPr>
            <w:r>
              <w:rPr>
                <w:rFonts w:ascii="Times New Roman" w:hAnsi="Times New Roman" w:eastAsia="Times New Roman"/>
                <w:color w:val="1F1F1F"/>
                <w:sz w:val="19"/>
              </w:rPr>
              <w:t>Supplementary Figure S10</w:t>
            </w:r>
          </w:p>
        </w:tc>
        <w:tc>
          <w:tcPr>
            <w:tcW w:type="dxa" w:w="5216"/>
            <w:vAlign w:val="center"/>
          </w:tcPr>
          <w:p>
            <w:pPr>
              <w:spacing w:before="0" w:after="0" w:line="240" w:lineRule="auto"/>
            </w:pPr>
            <w:r>
              <w:rPr>
                <w:rFonts w:ascii="Times New Roman" w:hAnsi="Times New Roman" w:eastAsia="Times New Roman"/>
                <w:color w:val="1F1F1F"/>
                <w:sz w:val="19"/>
              </w:rPr>
              <w:t>STAT1/STAT2 IFN-overlap-depletion sensitivity</w:t>
            </w:r>
          </w:p>
        </w:tc>
        <w:tc>
          <w:tcPr>
            <w:tcW w:type="dxa" w:w="2551"/>
            <w:vAlign w:val="center"/>
          </w:tcPr>
          <w:p>
            <w:pPr>
              <w:spacing w:before="0" w:after="0" w:line="240" w:lineRule="auto"/>
            </w:pPr>
            <w:r>
              <w:rPr>
                <w:rFonts w:ascii="Times New Roman" w:hAnsi="Times New Roman" w:eastAsia="Times New Roman"/>
                <w:color w:val="1F1F1F"/>
                <w:sz w:val="19"/>
              </w:rPr>
              <w:t>Supplementary_Figure_S10_source_data.csv</w:t>
            </w:r>
          </w:p>
        </w:tc>
      </w:tr>
    </w:tbl>
    <w:p>
      <w:pPr>
        <w:spacing w:after="60"/>
      </w:pPr>
    </w:p>
    <w:p>
      <w:pPr>
        <w:pStyle w:val="Heading1"/>
      </w:pPr>
      <w:r>
        <w:rPr>
          <w:rFonts w:ascii="Times New Roman" w:hAnsi="Times New Roman" w:eastAsia="Times New Roman"/>
          <w:color w:val="1F1F1F"/>
          <w:sz w:val="28"/>
        </w:rPr>
        <w:t>Supplementary Table S6 | Reproducibility record</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960"/>
        <w:gridCol w:w="5400"/>
      </w:tblGrid>
      <w:tr>
        <w:trPr>
          <w:cantSplit/>
          <w:tblHeader w:val="true"/>
        </w:trPr>
        <w:tc>
          <w:tcPr>
            <w:tcW w:type="dxa" w:w="3960"/>
            <w:vAlign w:val="center"/>
            <w:shd w:fill="E8EEF5"/>
          </w:tcPr>
          <w:p>
            <w:pPr>
              <w:keepNext/>
              <w:spacing w:before="0" w:after="0" w:line="240" w:lineRule="auto"/>
            </w:pPr>
            <w:r>
              <w:rPr>
                <w:rFonts w:ascii="Times New Roman" w:hAnsi="Times New Roman" w:eastAsia="Times New Roman"/>
                <w:b/>
                <w:color w:val="1F1F1F"/>
                <w:sz w:val="19"/>
              </w:rPr>
              <w:t>Component</w:t>
            </w:r>
          </w:p>
        </w:tc>
        <w:tc>
          <w:tcPr>
            <w:tcW w:type="dxa" w:w="5400"/>
            <w:vAlign w:val="center"/>
            <w:shd w:fill="E8EEF5"/>
          </w:tcPr>
          <w:p>
            <w:pPr>
              <w:keepNext/>
              <w:spacing w:before="0" w:after="0" w:line="240" w:lineRule="auto"/>
            </w:pPr>
            <w:r>
              <w:rPr>
                <w:rFonts w:ascii="Times New Roman" w:hAnsi="Times New Roman" w:eastAsia="Times New Roman"/>
                <w:b/>
                <w:color w:val="1F1F1F"/>
                <w:sz w:val="19"/>
              </w:rPr>
              <w:t>Reader-accessible record</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Main and supplementary figure data</w:t>
            </w:r>
          </w:p>
        </w:tc>
        <w:tc>
          <w:tcPr>
            <w:tcW w:type="dxa" w:w="5400"/>
            <w:vAlign w:val="center"/>
          </w:tcPr>
          <w:p>
            <w:pPr>
              <w:spacing w:before="0" w:after="0" w:line="240" w:lineRule="auto"/>
            </w:pPr>
            <w:r>
              <w:rPr>
                <w:rFonts w:ascii="Times New Roman" w:hAnsi="Times New Roman" w:eastAsia="Times New Roman"/>
                <w:color w:val="1F1F1F"/>
                <w:sz w:val="19"/>
              </w:rPr>
              <w:t>Supplementary Data 1 with SHA-256 manifest</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Complete statistical results</w:t>
            </w:r>
          </w:p>
        </w:tc>
        <w:tc>
          <w:tcPr>
            <w:tcW w:type="dxa" w:w="5400"/>
            <w:vAlign w:val="center"/>
          </w:tcPr>
          <w:p>
            <w:pPr>
              <w:spacing w:before="0" w:after="0" w:line="240" w:lineRule="auto"/>
            </w:pPr>
            <w:r>
              <w:rPr>
                <w:rFonts w:ascii="Times New Roman" w:hAnsi="Times New Roman" w:eastAsia="Times New Roman"/>
                <w:color w:val="1F1F1F"/>
                <w:sz w:val="19"/>
              </w:rPr>
              <w:t>Supplementary Data 3 with 12 gene-level branches and 12 sanitized design matrices</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Correlation-aware sensitivity</w:t>
            </w:r>
          </w:p>
        </w:tc>
        <w:tc>
          <w:tcPr>
            <w:tcW w:type="dxa" w:w="5400"/>
            <w:vAlign w:val="center"/>
          </w:tcPr>
          <w:p>
            <w:pPr>
              <w:spacing w:before="0" w:after="0" w:line="240" w:lineRule="auto"/>
            </w:pPr>
            <w:r>
              <w:rPr>
                <w:rFonts w:ascii="Times New Roman" w:hAnsi="Times New Roman" w:eastAsia="Times New Roman"/>
                <w:color w:val="1F1F1F"/>
                <w:sz w:val="19"/>
              </w:rPr>
              <w:t>Supplementary Data 2</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End-to-end identity and boundary propagation</w:t>
            </w:r>
          </w:p>
        </w:tc>
        <w:tc>
          <w:tcPr>
            <w:tcW w:type="dxa" w:w="5400"/>
            <w:vAlign w:val="center"/>
          </w:tcPr>
          <w:p>
            <w:pPr>
              <w:spacing w:before="0" w:after="0" w:line="240" w:lineRule="auto"/>
            </w:pPr>
            <w:r>
              <w:rPr>
                <w:rFonts w:ascii="Times New Roman" w:hAnsi="Times New Roman" w:eastAsia="Times New Roman"/>
                <w:color w:val="1F1F1F"/>
                <w:sz w:val="19"/>
              </w:rPr>
              <w:t xml:space="preserve">Supplementary Data 3, </w:t>
            </w:r>
            <w:r>
              <w:rPr>
                <w:rFonts w:ascii="Courier New" w:hAnsi="Courier New" w:eastAsia="Courier New"/>
                <w:color w:val="1F1F1F"/>
                <w:sz w:val="18"/>
              </w:rPr>
              <w:t>identity_robustness/</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Analysis code and decisions</w:t>
            </w:r>
          </w:p>
        </w:tc>
        <w:tc>
          <w:tcPr>
            <w:tcW w:type="dxa" w:w="5400"/>
            <w:vAlign w:val="center"/>
          </w:tcPr>
          <w:p>
            <w:pPr>
              <w:spacing w:before="0" w:after="0" w:line="240" w:lineRule="auto"/>
            </w:pPr>
            <w:r>
              <w:rPr>
                <w:rFonts w:ascii="Courier New" w:hAnsi="Courier New" w:eastAsia="Courier New"/>
                <w:color w:val="1F1F1F"/>
                <w:sz w:val="18"/>
              </w:rPr>
              <w:t>https://github.com/1209433622cz-maker/sle-bcell-remodeling</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Environment reconstruction</w:t>
            </w:r>
          </w:p>
        </w:tc>
        <w:tc>
          <w:tcPr>
            <w:tcW w:type="dxa" w:w="5400"/>
            <w:vAlign w:val="center"/>
          </w:tcPr>
          <w:p>
            <w:pPr>
              <w:spacing w:before="0" w:after="0" w:line="240" w:lineRule="auto"/>
            </w:pPr>
            <w:r>
              <w:rPr>
                <w:rFonts w:ascii="Times New Roman" w:hAnsi="Times New Roman" w:eastAsia="Times New Roman"/>
                <w:color w:val="1F1F1F"/>
                <w:sz w:val="19"/>
              </w:rPr>
              <w:t xml:space="preserve">Pinned scientific and release environments documented in </w:t>
            </w:r>
            <w:r>
              <w:rPr>
                <w:rFonts w:ascii="Courier New" w:hAnsi="Courier New" w:eastAsia="Courier New"/>
                <w:color w:val="1F1F1F"/>
                <w:sz w:val="18"/>
              </w:rPr>
              <w:t>REPRODUCIBILITY.md</w:t>
            </w:r>
          </w:p>
        </w:tc>
      </w:tr>
      <w:tr>
        <w:trPr>
          <w:cantSplit/>
        </w:trPr>
        <w:tc>
          <w:tcPr>
            <w:tcW w:type="dxa" w:w="3960"/>
            <w:vAlign w:val="center"/>
          </w:tcPr>
          <w:p>
            <w:pPr>
              <w:spacing w:before="0" w:after="0" w:line="240" w:lineRule="auto"/>
            </w:pPr>
            <w:r>
              <w:rPr>
                <w:rFonts w:ascii="Times New Roman" w:hAnsi="Times New Roman" w:eastAsia="Times New Roman"/>
                <w:color w:val="1F1F1F"/>
                <w:sz w:val="19"/>
              </w:rPr>
              <w:t>Version-specific archive</w:t>
            </w:r>
          </w:p>
        </w:tc>
        <w:tc>
          <w:tcPr>
            <w:tcW w:type="dxa" w:w="5400"/>
            <w:vAlign w:val="center"/>
          </w:tcPr>
          <w:p>
            <w:pPr>
              <w:spacing w:before="0" w:after="0" w:line="240" w:lineRule="auto"/>
            </w:pPr>
            <w:r>
              <w:rPr>
                <w:rFonts w:ascii="Times New Roman" w:hAnsi="Times New Roman" w:eastAsia="Times New Roman"/>
                <w:color w:val="1F1F1F"/>
                <w:sz w:val="19"/>
              </w:rPr>
              <w:t>Zenodo https://doi.org/10.5281/zenodo.22151739; version-specific archive of the released analysis code, Source Data and statistical outputs</w:t>
            </w:r>
          </w:p>
        </w:tc>
      </w:tr>
    </w:tbl>
    <w:p>
      <w:pPr>
        <w:spacing w:after="60"/>
      </w:pPr>
    </w:p>
    <w:p>
      <w:pPr>
        <w:pStyle w:val="Heading1"/>
      </w:pPr>
      <w:r>
        <w:rPr>
          <w:rFonts w:ascii="Times New Roman" w:hAnsi="Times New Roman" w:eastAsia="Times New Roman"/>
          <w:color w:val="1F1F1F"/>
          <w:sz w:val="28"/>
        </w:rPr>
        <w:t>Supplementary Table S7 | Statistical tests and multiplicity families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368"/>
        <w:gridCol w:w="1944"/>
        <w:gridCol w:w="1728"/>
        <w:gridCol w:w="1368"/>
        <w:gridCol w:w="1656"/>
        <w:gridCol w:w="1296"/>
      </w:tblGrid>
      <w:tr>
        <w:trPr>
          <w:cantSplit/>
          <w:tblHeader w:val="true"/>
        </w:trPr>
        <w:tc>
          <w:tcPr>
            <w:tcW w:type="dxa" w:w="1368"/>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Result family</w:t>
            </w:r>
          </w:p>
        </w:tc>
        <w:tc>
          <w:tcPr>
            <w:tcW w:type="dxa" w:w="1944"/>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Biological unit</w:t>
            </w:r>
          </w:p>
        </w:tc>
        <w:tc>
          <w:tcPr>
            <w:tcW w:type="dxa" w:w="1728"/>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Test or estimator</w:t>
            </w:r>
          </w:p>
        </w:tc>
        <w:tc>
          <w:tcPr>
            <w:tcW w:type="dxa" w:w="1368"/>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Sidedness</w:t>
            </w:r>
          </w:p>
        </w:tc>
        <w:tc>
          <w:tcPr>
            <w:tcW w:type="dxa" w:w="1656"/>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Multiplicity</w:t>
            </w:r>
          </w:p>
        </w:tc>
        <w:tc>
          <w:tcPr>
            <w:tcW w:type="dxa" w:w="1296"/>
            <w:vAlign w:val="center"/>
            <w:shd w:fill="E8EEF5"/>
            <w:tcMar>
              <w:left w:w="50" w:type="dxa"/>
              <w:right w:w="50" w:type="dxa"/>
              <w:start w:w="50" w:type="dxa"/>
              <w:end w:w="50" w:type="dxa"/>
            </w:tcMar>
          </w:tcPr>
          <w:p>
            <w:pPr>
              <w:keepNext/>
              <w:spacing w:before="0" w:after="0" w:line="240" w:lineRule="auto"/>
            </w:pPr>
            <w:r>
              <w:rPr>
                <w:rFonts w:ascii="Times New Roman" w:hAnsi="Times New Roman" w:eastAsia="Times New Roman"/>
                <w:b/>
                <w:color w:val="1F1F1F"/>
                <w:sz w:val="17"/>
              </w:rPr>
              <w:t>Role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B_ASC composition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stratum</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Beta-binomial Wald</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BH across three prespecified base contrasts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Primary composition inference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Gene-level expression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pseudobulk (GSE174188); donor pseudobulk (GSE135779)</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edgeR robust quasi-likelihood F</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BH within tested genes per contrast</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Gene-level inference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Four prespecified programs</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pseudobulk (GSE174188); donor pseudobulk (GSE135779)</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OLS with HC3</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BH across four programs per analysis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Program inference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TF-target activity</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Signed-target slope t test</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Global BH across 24 tests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Confirmatory regulatory evidence</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STAT1/STAT2 sensitivity</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CAMERA and FRY</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Positive-direction</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Separate BH families of six per method</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Correlation-aware sensitivity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STAT1/STAT2 overlap depletion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 and pseudobulk counts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ULM, CAMERA and FRY</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 ULM; positive-direction CAMERA/FRY</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Separate BH family of six per branch and method</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Additional sensitivity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End-to-end identity reproducibility</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Cell resample within technical library</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ARI, AMI, mapping agreement, state Jaccard and recall</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Not tested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Five unchanged threshold criteria</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Disease-blind robustness boundary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Broad-state boundary propagation</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Sample-cohort stratum</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Frozen beta-binomial and TMM logCPM/HC3 models</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Two-sided intervals</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 new multiplicity family; same-data sensitivity</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Assignment-uncertainty sensitivity</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M5911</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Ranked gene statistics</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10,000-permutation preranked test</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Positive-direction</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Descriptive BH across three contrasts</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Orthogonal support</w:t>
            </w:r>
          </w:p>
        </w:tc>
      </w:tr>
      <w:tr>
        <w:trPr>
          <w:cantSplit/>
        </w:trPr>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GSE23307</w:t>
            </w:r>
          </w:p>
        </w:tc>
        <w:tc>
          <w:tcPr>
            <w:tcW w:type="dxa" w:w="1944"/>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Paired donor</w:t>
            </w:r>
          </w:p>
        </w:tc>
        <w:tc>
          <w:tcPr>
            <w:tcW w:type="dxa" w:w="172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Mean paired log2(x+1) effect</w:t>
            </w:r>
          </w:p>
        </w:tc>
        <w:tc>
          <w:tcPr>
            <w:tcW w:type="dxa" w:w="1368"/>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Not tested</w:t>
            </w:r>
          </w:p>
        </w:tc>
        <w:tc>
          <w:tcPr>
            <w:tcW w:type="dxa" w:w="165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None; n=2</w:t>
            </w:r>
          </w:p>
        </w:tc>
        <w:tc>
          <w:tcPr>
            <w:tcW w:type="dxa" w:w="1296"/>
            <w:vAlign w:val="center"/>
            <w:tcMar>
              <w:left w:w="50" w:type="dxa"/>
              <w:right w:w="50" w:type="dxa"/>
              <w:start w:w="50" w:type="dxa"/>
              <w:end w:w="50" w:type="dxa"/>
            </w:tcMar>
          </w:tcPr>
          <w:p>
            <w:pPr>
              <w:spacing w:before="0" w:after="0" w:line="240" w:lineRule="auto"/>
            </w:pPr>
            <w:r>
              <w:rPr>
                <w:rFonts w:ascii="Times New Roman" w:hAnsi="Times New Roman" w:eastAsia="Times New Roman"/>
                <w:color w:val="1F1F1F"/>
                <w:sz w:val="17"/>
              </w:rPr>
              <w:t>Descriptive perturbation</w:t>
            </w:r>
          </w:p>
        </w:tc>
      </w:tr>
    </w:tbl>
    <w:p>
      <w:pPr>
        <w:pStyle w:val="Heading1"/>
      </w:pPr>
      <w:r>
        <w:rPr>
          <w:rFonts w:ascii="Times New Roman" w:hAnsi="Times New Roman" w:eastAsia="Times New Roman"/>
          <w:color w:val="1F1F1F"/>
          <w:sz w:val="28"/>
        </w:rPr>
        <w:t>Supplementary Table S8 | Full statistical-results archive map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350"/>
        <w:gridCol w:w="4900"/>
        <w:gridCol w:w="1110"/>
      </w:tblGrid>
      <w:tr>
        <w:trPr>
          <w:cantSplit/>
          <w:tblHeader w:val="true"/>
        </w:trPr>
        <w:tc>
          <w:tcPr>
            <w:tcW w:type="dxa" w:w="3350"/>
            <w:vAlign w:val="center"/>
            <w:shd w:fill="E8EEF5"/>
          </w:tcPr>
          <w:p>
            <w:pPr>
              <w:keepNext/>
              <w:spacing w:before="0" w:after="0" w:line="240" w:lineRule="auto"/>
            </w:pPr>
            <w:r>
              <w:rPr>
                <w:rFonts w:ascii="Times New Roman" w:hAnsi="Times New Roman" w:eastAsia="Times New Roman"/>
                <w:b/>
                <w:color w:val="1F1F1F"/>
                <w:sz w:val="19"/>
              </w:rPr>
              <w:t>Directory</w:t>
            </w:r>
          </w:p>
        </w:tc>
        <w:tc>
          <w:tcPr>
            <w:tcW w:type="dxa" w:w="4900"/>
            <w:vAlign w:val="center"/>
            <w:shd w:fill="E8EEF5"/>
          </w:tcPr>
          <w:p>
            <w:pPr>
              <w:keepNext/>
              <w:spacing w:before="0" w:after="0" w:line="240" w:lineRule="auto"/>
            </w:pPr>
            <w:r>
              <w:rPr>
                <w:rFonts w:ascii="Times New Roman" w:hAnsi="Times New Roman" w:eastAsia="Times New Roman"/>
                <w:b/>
                <w:color w:val="1F1F1F"/>
                <w:sz w:val="19"/>
              </w:rPr>
              <w:t>Contents</w:t>
            </w:r>
          </w:p>
        </w:tc>
        <w:tc>
          <w:tcPr>
            <w:tcW w:type="dxa" w:w="1110"/>
            <w:vAlign w:val="center"/>
            <w:shd w:fill="E8EEF5"/>
          </w:tcPr>
          <w:p>
            <w:pPr>
              <w:keepNext/>
              <w:spacing w:before="0" w:after="0" w:line="240" w:lineRule="auto"/>
            </w:pPr>
            <w:r>
              <w:rPr>
                <w:rFonts w:ascii="Times New Roman" w:hAnsi="Times New Roman" w:eastAsia="Times New Roman"/>
                <w:b/>
                <w:color w:val="1F1F1F"/>
                <w:sz w:val="19"/>
              </w:rPr>
              <w:t>Files</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gene_level_results</w:t>
            </w:r>
          </w:p>
        </w:tc>
        <w:tc>
          <w:tcPr>
            <w:tcW w:type="dxa" w:w="4900"/>
            <w:vAlign w:val="center"/>
          </w:tcPr>
          <w:p>
            <w:pPr>
              <w:spacing w:before="0" w:after="0" w:line="240" w:lineRule="auto"/>
            </w:pPr>
            <w:r>
              <w:rPr>
                <w:rFonts w:ascii="Times New Roman" w:hAnsi="Times New Roman" w:eastAsia="Times New Roman"/>
                <w:color w:val="1F1F1F"/>
                <w:sz w:val="19"/>
              </w:rPr>
              <w:t>Complete filterByExpr gene results for GSE174188 and GSE135779 branches</w:t>
            </w:r>
          </w:p>
        </w:tc>
        <w:tc>
          <w:tcPr>
            <w:tcW w:type="dxa" w:w="1110"/>
            <w:vAlign w:val="center"/>
          </w:tcPr>
          <w:p>
            <w:pPr>
              <w:spacing w:before="0" w:after="0" w:line="240" w:lineRule="auto"/>
            </w:pPr>
            <w:r>
              <w:rPr>
                <w:rFonts w:ascii="Times New Roman" w:hAnsi="Times New Roman" w:eastAsia="Times New Roman"/>
                <w:color w:val="1F1F1F"/>
                <w:sz w:val="19"/>
              </w:rPr>
              <w:t>12</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sanitized_design_matrices</w:t>
            </w:r>
          </w:p>
        </w:tc>
        <w:tc>
          <w:tcPr>
            <w:tcW w:type="dxa" w:w="4900"/>
            <w:vAlign w:val="center"/>
          </w:tcPr>
          <w:p>
            <w:pPr>
              <w:spacing w:before="0" w:after="0" w:line="240" w:lineRule="auto"/>
            </w:pPr>
            <w:r>
              <w:rPr>
                <w:rFonts w:ascii="Times New Roman" w:hAnsi="Times New Roman" w:eastAsia="Times New Roman"/>
                <w:color w:val="1F1F1F"/>
                <w:sz w:val="19"/>
              </w:rPr>
              <w:t>Direct-identifier-free analysis designs</w:t>
            </w:r>
          </w:p>
        </w:tc>
        <w:tc>
          <w:tcPr>
            <w:tcW w:type="dxa" w:w="1110"/>
            <w:vAlign w:val="center"/>
          </w:tcPr>
          <w:p>
            <w:pPr>
              <w:spacing w:before="0" w:after="0" w:line="240" w:lineRule="auto"/>
            </w:pPr>
            <w:r>
              <w:rPr>
                <w:rFonts w:ascii="Times New Roman" w:hAnsi="Times New Roman" w:eastAsia="Times New Roman"/>
                <w:color w:val="1F1F1F"/>
                <w:sz w:val="19"/>
              </w:rPr>
              <w:t>12</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composition</w:t>
            </w:r>
          </w:p>
        </w:tc>
        <w:tc>
          <w:tcPr>
            <w:tcW w:type="dxa" w:w="4900"/>
            <w:vAlign w:val="center"/>
          </w:tcPr>
          <w:p>
            <w:pPr>
              <w:spacing w:before="0" w:after="0" w:line="240" w:lineRule="auto"/>
            </w:pPr>
            <w:r>
              <w:rPr>
                <w:rFonts w:ascii="Times New Roman" w:hAnsi="Times New Roman" w:eastAsia="Times New Roman"/>
                <w:color w:val="1F1F1F"/>
                <w:sz w:val="19"/>
              </w:rPr>
              <w:t>Frozen coefficients, contrasts, predictions, sensitivities, leave-one-out and diagnostics</w:t>
            </w:r>
          </w:p>
        </w:tc>
        <w:tc>
          <w:tcPr>
            <w:tcW w:type="dxa" w:w="1110"/>
            <w:vAlign w:val="center"/>
          </w:tcPr>
          <w:p>
            <w:pPr>
              <w:spacing w:before="0" w:after="0" w:line="240" w:lineRule="auto"/>
            </w:pPr>
            <w:r>
              <w:rPr>
                <w:rFonts w:ascii="Times New Roman" w:hAnsi="Times New Roman" w:eastAsia="Times New Roman"/>
                <w:color w:val="1F1F1F"/>
                <w:sz w:val="19"/>
              </w:rPr>
              <w:t>8</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transcription</w:t>
            </w:r>
          </w:p>
        </w:tc>
        <w:tc>
          <w:tcPr>
            <w:tcW w:type="dxa" w:w="4900"/>
            <w:vAlign w:val="center"/>
          </w:tcPr>
          <w:p>
            <w:pPr>
              <w:spacing w:before="0" w:after="0" w:line="240" w:lineRule="auto"/>
            </w:pPr>
            <w:r>
              <w:rPr>
                <w:rFonts w:ascii="Times New Roman" w:hAnsi="Times New Roman" w:eastAsia="Times New Roman"/>
                <w:color w:val="1F1F1F"/>
                <w:sz w:val="19"/>
              </w:rPr>
              <w:t>Program, ranked-list, influence and concordance results</w:t>
            </w:r>
          </w:p>
        </w:tc>
        <w:tc>
          <w:tcPr>
            <w:tcW w:type="dxa" w:w="1110"/>
            <w:vAlign w:val="center"/>
          </w:tcPr>
          <w:p>
            <w:pPr>
              <w:spacing w:before="0" w:after="0" w:line="240" w:lineRule="auto"/>
            </w:pPr>
            <w:r>
              <w:rPr>
                <w:rFonts w:ascii="Times New Roman" w:hAnsi="Times New Roman" w:eastAsia="Times New Roman"/>
                <w:color w:val="1F1F1F"/>
                <w:sz w:val="19"/>
              </w:rPr>
              <w:t>18</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regulatory_and_orthogonal</w:t>
            </w:r>
          </w:p>
        </w:tc>
        <w:tc>
          <w:tcPr>
            <w:tcW w:type="dxa" w:w="4900"/>
            <w:vAlign w:val="center"/>
          </w:tcPr>
          <w:p>
            <w:pPr>
              <w:spacing w:before="0" w:after="0" w:line="240" w:lineRule="auto"/>
            </w:pPr>
            <w:r>
              <w:rPr>
                <w:rFonts w:ascii="Times New Roman" w:hAnsi="Times New Roman" w:eastAsia="Times New Roman"/>
                <w:color w:val="1F1F1F"/>
                <w:sz w:val="19"/>
              </w:rPr>
              <w:t>ULM, target influence, CAMERA/FRY, M5911 and GSE23307 summaries</w:t>
            </w:r>
          </w:p>
        </w:tc>
        <w:tc>
          <w:tcPr>
            <w:tcW w:type="dxa" w:w="1110"/>
            <w:vAlign w:val="center"/>
          </w:tcPr>
          <w:p>
            <w:pPr>
              <w:spacing w:before="0" w:after="0" w:line="240" w:lineRule="auto"/>
            </w:pPr>
            <w:r>
              <w:rPr>
                <w:rFonts w:ascii="Times New Roman" w:hAnsi="Times New Roman" w:eastAsia="Times New Roman"/>
                <w:color w:val="1F1F1F"/>
                <w:sz w:val="19"/>
              </w:rPr>
              <w:t>9</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statistical_framework</w:t>
            </w:r>
          </w:p>
        </w:tc>
        <w:tc>
          <w:tcPr>
            <w:tcW w:type="dxa" w:w="4900"/>
            <w:vAlign w:val="center"/>
          </w:tcPr>
          <w:p>
            <w:pPr>
              <w:spacing w:before="0" w:after="0" w:line="240" w:lineRule="auto"/>
            </w:pPr>
            <w:r>
              <w:rPr>
                <w:rFonts w:ascii="Times New Roman" w:hAnsi="Times New Roman" w:eastAsia="Times New Roman"/>
                <w:color w:val="1F1F1F"/>
                <w:sz w:val="19"/>
              </w:rPr>
              <w:t>Machine-readable test and multiplicity map</w:t>
            </w:r>
          </w:p>
        </w:tc>
        <w:tc>
          <w:tcPr>
            <w:tcW w:type="dxa" w:w="1110"/>
            <w:vAlign w:val="center"/>
          </w:tcPr>
          <w:p>
            <w:pPr>
              <w:spacing w:before="0" w:after="0" w:line="240" w:lineRule="auto"/>
            </w:pPr>
            <w:r>
              <w:rPr>
                <w:rFonts w:ascii="Times New Roman" w:hAnsi="Times New Roman" w:eastAsia="Times New Roman"/>
                <w:color w:val="1F1F1F"/>
                <w:sz w:val="19"/>
              </w:rPr>
              <w:t>1</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identity_robustness</w:t>
            </w:r>
          </w:p>
        </w:tc>
        <w:tc>
          <w:tcPr>
            <w:tcW w:type="dxa" w:w="4900"/>
            <w:vAlign w:val="center"/>
          </w:tcPr>
          <w:p>
            <w:pPr>
              <w:spacing w:before="0" w:after="0" w:line="240" w:lineRule="auto"/>
            </w:pPr>
            <w:r>
              <w:rPr>
                <w:rFonts w:ascii="Times New Roman" w:hAnsi="Times New Roman" w:eastAsia="Times New Roman"/>
                <w:color w:val="1F1F1F"/>
                <w:sz w:val="19"/>
              </w:rPr>
              <w:t>Aggregate and replicate-level end-to-end identity metrics, boundary propagation results and integrity records</w:t>
            </w:r>
          </w:p>
        </w:tc>
        <w:tc>
          <w:tcPr>
            <w:tcW w:type="dxa" w:w="1110"/>
            <w:vAlign w:val="center"/>
          </w:tcPr>
          <w:p>
            <w:pPr>
              <w:spacing w:before="0" w:after="0" w:line="240" w:lineRule="auto"/>
            </w:pPr>
            <w:r>
              <w:rPr>
                <w:rFonts w:ascii="Times New Roman" w:hAnsi="Times New Roman" w:eastAsia="Times New Roman"/>
                <w:color w:val="1F1F1F"/>
                <w:sz w:val="19"/>
              </w:rPr>
              <w:t>101</w:t>
            </w:r>
          </w:p>
        </w:tc>
      </w:tr>
      <w:tr>
        <w:trPr>
          <w:cantSplit/>
        </w:trPr>
        <w:tc>
          <w:tcPr>
            <w:tcW w:type="dxa" w:w="3350"/>
            <w:vAlign w:val="center"/>
          </w:tcPr>
          <w:p>
            <w:pPr>
              <w:spacing w:before="0" w:after="0" w:line="240" w:lineRule="auto"/>
            </w:pPr>
            <w:r>
              <w:rPr>
                <w:rFonts w:ascii="Times New Roman" w:hAnsi="Times New Roman" w:eastAsia="Times New Roman"/>
                <w:color w:val="1F1F1F"/>
                <w:sz w:val="19"/>
              </w:rPr>
              <w:t>external_mapping_calibration</w:t>
            </w:r>
          </w:p>
        </w:tc>
        <w:tc>
          <w:tcPr>
            <w:tcW w:type="dxa" w:w="4900"/>
            <w:vAlign w:val="center"/>
          </w:tcPr>
          <w:p>
            <w:pPr>
              <w:spacing w:before="0" w:after="0" w:line="240" w:lineRule="auto"/>
            </w:pPr>
            <w:r>
              <w:rPr>
                <w:rFonts w:ascii="Times New Roman" w:hAnsi="Times New Roman" w:eastAsia="Times New Roman"/>
                <w:color w:val="1F1F1F"/>
                <w:sz w:val="19"/>
              </w:rPr>
              <w:t>Corrected feature and parameter tables, full confidence-calibration family, aggregate selection diagnostics, provenance, arithmetic recount and publication boundary</w:t>
            </w:r>
          </w:p>
        </w:tc>
        <w:tc>
          <w:tcPr>
            <w:tcW w:type="dxa" w:w="1110"/>
            <w:vAlign w:val="center"/>
          </w:tcPr>
          <w:p>
            <w:pPr>
              <w:spacing w:before="0" w:after="0" w:line="240" w:lineRule="auto"/>
            </w:pPr>
            <w:r>
              <w:rPr>
                <w:rFonts w:ascii="Times New Roman" w:hAnsi="Times New Roman" w:eastAsia="Times New Roman"/>
                <w:color w:val="1F1F1F"/>
                <w:sz w:val="19"/>
              </w:rPr>
              <w:t>20</w:t>
            </w:r>
          </w:p>
        </w:tc>
      </w:tr>
    </w:tbl>
    <w:p>
      <w:pPr>
        <w:spacing w:after="60"/>
      </w:pPr>
    </w:p>
    <w:p>
      <w:pPr>
        <w:pStyle w:val="Heading1"/>
      </w:pPr>
      <w:r>
        <w:rPr>
          <w:rFonts w:ascii="Times New Roman" w:hAnsi="Times New Roman" w:eastAsia="Times New Roman"/>
          <w:color w:val="1F1F1F"/>
          <w:sz w:val="28"/>
        </w:rPr>
        <w:t>Supplementary Table S9 | Reference-calibrated external mapping boundary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206"/>
        <w:gridCol w:w="3577"/>
        <w:gridCol w:w="3577"/>
      </w:tblGrid>
      <w:tr>
        <w:trPr>
          <w:cantSplit/>
          <w:tblHeader w:val="true"/>
        </w:trPr>
        <w:tc>
          <w:tcPr>
            <w:tcW w:type="dxa" w:w="2206"/>
            <w:vAlign w:val="center"/>
            <w:shd w:fill="E8EEF5"/>
          </w:tcPr>
          <w:p>
            <w:pPr>
              <w:keepNext/>
              <w:spacing w:before="0" w:after="0" w:line="240" w:lineRule="auto"/>
            </w:pPr>
            <w:r>
              <w:rPr>
                <w:rFonts w:ascii="Times New Roman" w:hAnsi="Times New Roman" w:eastAsia="Times New Roman"/>
                <w:b/>
                <w:color w:val="1F1F1F"/>
                <w:sz w:val="19"/>
              </w:rPr>
              <w:t>Component</w:t>
            </w:r>
          </w:p>
        </w:tc>
        <w:tc>
          <w:tcPr>
            <w:tcW w:type="dxa" w:w="3577"/>
            <w:vAlign w:val="center"/>
            <w:shd w:fill="E8EEF5"/>
          </w:tcPr>
          <w:p>
            <w:pPr>
              <w:keepNext/>
              <w:spacing w:before="0" w:after="0" w:line="240" w:lineRule="auto"/>
            </w:pPr>
            <w:r>
              <w:rPr>
                <w:rFonts w:ascii="Times New Roman" w:hAnsi="Times New Roman" w:eastAsia="Times New Roman"/>
                <w:b/>
                <w:color w:val="1F1F1F"/>
                <w:sz w:val="19"/>
              </w:rPr>
              <w:t>Corrected diagnostic</w:t>
            </w:r>
          </w:p>
        </w:tc>
        <w:tc>
          <w:tcPr>
            <w:tcW w:type="dxa" w:w="3577"/>
            <w:vAlign w:val="center"/>
            <w:shd w:fill="E8EEF5"/>
          </w:tcPr>
          <w:p>
            <w:pPr>
              <w:keepNext/>
              <w:spacing w:before="0" w:after="0" w:line="240" w:lineRule="auto"/>
            </w:pPr>
            <w:r>
              <w:rPr>
                <w:rFonts w:ascii="Times New Roman" w:hAnsi="Times New Roman" w:eastAsia="Times New Roman"/>
                <w:b/>
                <w:color w:val="1F1F1F"/>
                <w:sz w:val="19"/>
              </w:rPr>
              <w:t>Interpretation</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External input</w:t>
            </w:r>
          </w:p>
        </w:tc>
        <w:tc>
          <w:tcPr>
            <w:tcW w:type="dxa" w:w="3577"/>
            <w:vAlign w:val="center"/>
          </w:tcPr>
          <w:p>
            <w:pPr>
              <w:spacing w:before="0" w:after="0" w:line="240" w:lineRule="auto"/>
            </w:pPr>
            <w:r>
              <w:rPr>
                <w:rFonts w:ascii="Times New Roman" w:hAnsi="Times New Roman" w:eastAsia="Times New Roman"/>
                <w:color w:val="1F1F1F"/>
                <w:sz w:val="19"/>
              </w:rPr>
              <w:t>56 matrices; 363,083 cells</w:t>
            </w:r>
          </w:p>
        </w:tc>
        <w:tc>
          <w:tcPr>
            <w:tcW w:type="dxa" w:w="3577"/>
            <w:vAlign w:val="center"/>
          </w:tcPr>
          <w:p>
            <w:pPr>
              <w:spacing w:before="0" w:after="0" w:line="240" w:lineRule="auto"/>
            </w:pPr>
            <w:r>
              <w:rPr>
                <w:rFonts w:ascii="Times New Roman" w:hAnsi="Times New Roman" w:eastAsia="Times New Roman"/>
                <w:color w:val="1F1F1F"/>
                <w:sz w:val="19"/>
              </w:rPr>
              <w:t>Complete source matrix coverage</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External QC and selection</w:t>
            </w:r>
          </w:p>
        </w:tc>
        <w:tc>
          <w:tcPr>
            <w:tcW w:type="dxa" w:w="3577"/>
            <w:vAlign w:val="center"/>
          </w:tcPr>
          <w:p>
            <w:pPr>
              <w:spacing w:before="0" w:after="0" w:line="240" w:lineRule="auto"/>
            </w:pPr>
            <w:r>
              <w:rPr>
                <w:rFonts w:ascii="Times New Roman" w:hAnsi="Times New Roman" w:eastAsia="Times New Roman"/>
                <w:color w:val="1F1F1F"/>
                <w:sz w:val="19"/>
              </w:rPr>
              <w:t>353,527 QC-passing cells; 36,630 B-lineage candidates</w:t>
            </w:r>
          </w:p>
        </w:tc>
        <w:tc>
          <w:tcPr>
            <w:tcW w:type="dxa" w:w="3577"/>
            <w:vAlign w:val="center"/>
          </w:tcPr>
          <w:p>
            <w:pPr>
              <w:spacing w:before="0" w:after="0" w:line="240" w:lineRule="auto"/>
            </w:pPr>
            <w:r>
              <w:rPr>
                <w:rFonts w:ascii="Times New Roman" w:hAnsi="Times New Roman" w:eastAsia="Times New Roman"/>
                <w:color w:val="1F1F1F"/>
                <w:sz w:val="19"/>
              </w:rPr>
              <w:t>No source labels or disease fields parsed</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Reference training</w:t>
            </w:r>
          </w:p>
        </w:tc>
        <w:tc>
          <w:tcPr>
            <w:tcW w:type="dxa" w:w="3577"/>
            <w:vAlign w:val="center"/>
          </w:tcPr>
          <w:p>
            <w:pPr>
              <w:spacing w:before="0" w:after="0" w:line="240" w:lineRule="auto"/>
            </w:pPr>
            <w:r>
              <w:rPr>
                <w:rFonts w:ascii="Times New Roman" w:hAnsi="Times New Roman" w:eastAsia="Times New Roman"/>
                <w:color w:val="1F1F1F"/>
                <w:sz w:val="19"/>
              </w:rPr>
              <w:t>13,000 B_CONV and 1,300 B_ASC; 258 donors; 601 features</w:t>
            </w:r>
          </w:p>
        </w:tc>
        <w:tc>
          <w:tcPr>
            <w:tcW w:type="dxa" w:w="3577"/>
            <w:vAlign w:val="center"/>
          </w:tcPr>
          <w:p>
            <w:pPr>
              <w:spacing w:before="0" w:after="0" w:line="240" w:lineRule="auto"/>
            </w:pPr>
            <w:r>
              <w:rPr>
                <w:rFonts w:ascii="Times New Roman" w:hAnsi="Times New Roman" w:eastAsia="Times New Roman"/>
                <w:color w:val="1F1F1F"/>
                <w:sz w:val="19"/>
              </w:rPr>
              <w:t>Both algorithms share reference and features</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Normalization</w:t>
            </w:r>
          </w:p>
        </w:tc>
        <w:tc>
          <w:tcPr>
            <w:tcW w:type="dxa" w:w="3577"/>
            <w:vAlign w:val="center"/>
          </w:tcPr>
          <w:p>
            <w:pPr>
              <w:spacing w:before="0" w:after="0" w:line="240" w:lineRule="auto"/>
            </w:pPr>
            <w:r>
              <w:rPr>
                <w:rFonts w:ascii="Times New Roman" w:hAnsi="Times New Roman" w:eastAsia="Times New Roman"/>
                <w:color w:val="1F1F1F"/>
                <w:sz w:val="19"/>
              </w:rPr>
              <w:t>Full-library log1p(CP10K) before feature subsetting in both datasets</w:t>
            </w:r>
          </w:p>
        </w:tc>
        <w:tc>
          <w:tcPr>
            <w:tcW w:type="dxa" w:w="3577"/>
            <w:vAlign w:val="center"/>
          </w:tcPr>
          <w:p>
            <w:pPr>
              <w:spacing w:before="0" w:after="0" w:line="240" w:lineRule="auto"/>
            </w:pPr>
            <w:r>
              <w:rPr>
                <w:rFonts w:ascii="Times New Roman" w:hAnsi="Times New Roman" w:eastAsia="Times New Roman"/>
                <w:color w:val="1F1F1F"/>
                <w:sz w:val="19"/>
              </w:rPr>
              <w:t>Corrects reference feature-only denominator</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Elastic-net calibration</w:t>
            </w:r>
          </w:p>
        </w:tc>
        <w:tc>
          <w:tcPr>
            <w:tcW w:type="dxa" w:w="3577"/>
            <w:vAlign w:val="center"/>
          </w:tcPr>
          <w:p>
            <w:pPr>
              <w:spacing w:before="0" w:after="0" w:line="240" w:lineRule="auto"/>
            </w:pPr>
            <w:r>
              <w:rPr>
                <w:rFonts w:ascii="Times New Roman" w:hAnsi="Times New Roman" w:eastAsia="Times New Roman"/>
                <w:color w:val="1F1F1F"/>
                <w:sz w:val="19"/>
              </w:rPr>
              <w:t>Diagnostic threshold 0.95; coverage 0.941958; B_CONV precision 0.996450; B_ASC precision 0.885210</w:t>
            </w:r>
          </w:p>
        </w:tc>
        <w:tc>
          <w:tcPr>
            <w:tcW w:type="dxa" w:w="3577"/>
            <w:vAlign w:val="center"/>
          </w:tcPr>
          <w:p>
            <w:pPr>
              <w:spacing w:before="0" w:after="0" w:line="240" w:lineRule="auto"/>
            </w:pPr>
            <w:r>
              <w:rPr>
                <w:rFonts w:ascii="Times New Roman" w:hAnsi="Times New Roman" w:eastAsia="Times New Roman"/>
                <w:color w:val="1F1F1F"/>
                <w:sz w:val="19"/>
              </w:rPr>
              <w:t>No eligible candidate: state precision must be at least 0.90 and coverage at least 0.80</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Centroid calibration</w:t>
            </w:r>
          </w:p>
        </w:tc>
        <w:tc>
          <w:tcPr>
            <w:tcW w:type="dxa" w:w="3577"/>
            <w:vAlign w:val="center"/>
          </w:tcPr>
          <w:p>
            <w:pPr>
              <w:spacing w:before="0" w:after="0" w:line="240" w:lineRule="auto"/>
            </w:pPr>
            <w:r>
              <w:rPr>
                <w:rFonts w:ascii="Times New Roman" w:hAnsi="Times New Roman" w:eastAsia="Times New Roman"/>
                <w:color w:val="1F1F1F"/>
                <w:sz w:val="19"/>
              </w:rPr>
              <w:t>Margin 0.117767; coverage 0.95; B_CONV precision 0.992374; B_ASC precision 1.0</w:t>
            </w:r>
          </w:p>
        </w:tc>
        <w:tc>
          <w:tcPr>
            <w:tcW w:type="dxa" w:w="3577"/>
            <w:vAlign w:val="center"/>
          </w:tcPr>
          <w:p>
            <w:pPr>
              <w:spacing w:before="0" w:after="0" w:line="240" w:lineRule="auto"/>
            </w:pPr>
            <w:r>
              <w:rPr>
                <w:rFonts w:ascii="Times New Roman" w:hAnsi="Times New Roman" w:eastAsia="Times New Roman"/>
                <w:color w:val="1F1F1F"/>
                <w:sz w:val="19"/>
              </w:rPr>
              <w:t>Eligible, but cannot replace required primary mapper</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Mean reference-fold balanced accuracy</w:t>
            </w:r>
          </w:p>
        </w:tc>
        <w:tc>
          <w:tcPr>
            <w:tcW w:type="dxa" w:w="3577"/>
            <w:vAlign w:val="center"/>
          </w:tcPr>
          <w:p>
            <w:pPr>
              <w:spacing w:before="0" w:after="0" w:line="240" w:lineRule="auto"/>
            </w:pPr>
            <w:r>
              <w:rPr>
                <w:rFonts w:ascii="Times New Roman" w:hAnsi="Times New Roman" w:eastAsia="Times New Roman"/>
                <w:color w:val="1F1F1F"/>
                <w:sz w:val="19"/>
              </w:rPr>
              <w:t>Elastic net 0.960569; centroid 0.950293</w:t>
            </w:r>
          </w:p>
        </w:tc>
        <w:tc>
          <w:tcPr>
            <w:tcW w:type="dxa" w:w="3577"/>
            <w:vAlign w:val="center"/>
          </w:tcPr>
          <w:p>
            <w:pPr>
              <w:spacing w:before="0" w:after="0" w:line="240" w:lineRule="auto"/>
            </w:pPr>
            <w:r>
              <w:rPr>
                <w:rFonts w:ascii="Times New Roman" w:hAnsi="Times New Roman" w:eastAsia="Times New Roman"/>
                <w:color w:val="1F1F1F"/>
                <w:sz w:val="19"/>
              </w:rPr>
              <w:t>Calibration diagnostics; not independent performance estimates</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Outcome policy</w:t>
            </w:r>
          </w:p>
        </w:tc>
        <w:tc>
          <w:tcPr>
            <w:tcW w:type="dxa" w:w="3577"/>
            <w:vAlign w:val="center"/>
          </w:tcPr>
          <w:p>
            <w:pPr>
              <w:spacing w:before="0" w:after="0" w:line="240" w:lineRule="auto"/>
            </w:pPr>
            <w:r>
              <w:rPr>
                <w:rFonts w:ascii="Times New Roman" w:hAnsi="Times New Roman" w:eastAsia="Times New Roman"/>
                <w:color w:val="1F1F1F"/>
                <w:sz w:val="19"/>
              </w:rPr>
              <w:t>Corrected disease outcomes not estimated</w:t>
            </w:r>
          </w:p>
        </w:tc>
        <w:tc>
          <w:tcPr>
            <w:tcW w:type="dxa" w:w="3577"/>
            <w:vAlign w:val="center"/>
          </w:tcPr>
          <w:p>
            <w:pPr>
              <w:spacing w:before="0" w:after="0" w:line="240" w:lineRule="auto"/>
            </w:pPr>
            <w:r>
              <w:rPr>
                <w:rFonts w:ascii="Times New Roman" w:hAnsi="Times New Roman" w:eastAsia="Times New Roman"/>
                <w:color w:val="1F1F1F"/>
                <w:sz w:val="19"/>
              </w:rPr>
              <w:t>No corrected effect, confidence interval, P or q value exists</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Prior outcome exposure</w:t>
            </w:r>
          </w:p>
        </w:tc>
        <w:tc>
          <w:tcPr>
            <w:tcW w:type="dxa" w:w="3577"/>
            <w:vAlign w:val="center"/>
          </w:tcPr>
          <w:p>
            <w:pPr>
              <w:spacing w:before="0" w:after="0" w:line="240" w:lineRule="auto"/>
            </w:pPr>
            <w:r>
              <w:rPr>
                <w:rFonts w:ascii="Times New Roman" w:hAnsi="Times New Roman" w:eastAsia="Times New Roman"/>
                <w:color w:val="1F1F1F"/>
                <w:sz w:val="19"/>
              </w:rPr>
              <w:t>Original sensitivity outcomes were known before correction</w:t>
            </w:r>
          </w:p>
        </w:tc>
        <w:tc>
          <w:tcPr>
            <w:tcW w:type="dxa" w:w="3577"/>
            <w:vAlign w:val="center"/>
          </w:tcPr>
          <w:p>
            <w:pPr>
              <w:spacing w:before="0" w:after="0" w:line="240" w:lineRule="auto"/>
            </w:pPr>
            <w:r>
              <w:rPr>
                <w:rFonts w:ascii="Times New Roman" w:hAnsi="Times New Roman" w:eastAsia="Times New Roman"/>
                <w:color w:val="1F1F1F"/>
                <w:sz w:val="19"/>
              </w:rPr>
              <w:t>Post-outcome correction; not prospective validation</w:t>
            </w:r>
          </w:p>
        </w:tc>
      </w:tr>
      <w:tr>
        <w:trPr>
          <w:cantSplit/>
        </w:trPr>
        <w:tc>
          <w:tcPr>
            <w:tcW w:type="dxa" w:w="2206"/>
            <w:vAlign w:val="center"/>
          </w:tcPr>
          <w:p>
            <w:pPr>
              <w:spacing w:before="0" w:after="0" w:line="240" w:lineRule="auto"/>
            </w:pPr>
            <w:r>
              <w:rPr>
                <w:rFonts w:ascii="Times New Roman" w:hAnsi="Times New Roman" w:eastAsia="Times New Roman"/>
                <w:color w:val="1F1F1F"/>
                <w:sz w:val="19"/>
              </w:rPr>
              <w:t>Evidence boundary</w:t>
            </w:r>
          </w:p>
        </w:tc>
        <w:tc>
          <w:tcPr>
            <w:tcW w:type="dxa" w:w="3577"/>
            <w:vAlign w:val="center"/>
          </w:tcPr>
          <w:p>
            <w:pPr>
              <w:spacing w:before="0" w:after="0" w:line="240" w:lineRule="auto"/>
            </w:pPr>
            <w:r>
              <w:rPr>
                <w:rFonts w:ascii="Times New Roman" w:hAnsi="Times New Roman" w:eastAsia="Times New Roman"/>
                <w:color w:val="1F1F1F"/>
                <w:sz w:val="19"/>
              </w:rPr>
              <w:t>Primary GSE135779 replication remains source-label-defined</w:t>
            </w:r>
          </w:p>
        </w:tc>
        <w:tc>
          <w:tcPr>
            <w:tcW w:type="dxa" w:w="3577"/>
            <w:vAlign w:val="center"/>
          </w:tcPr>
          <w:p>
            <w:pPr>
              <w:spacing w:before="0" w:after="0" w:line="240" w:lineRule="auto"/>
            </w:pPr>
            <w:r>
              <w:rPr>
                <w:rFonts w:ascii="Times New Roman" w:hAnsi="Times New Roman" w:eastAsia="Times New Roman"/>
                <w:color w:val="1F1F1F"/>
                <w:sz w:val="19"/>
              </w:rPr>
              <w:t>Superseded uncorrected outcomes excluded from supporting evidence</w:t>
            </w:r>
          </w:p>
        </w:tc>
      </w:tr>
    </w:tbl>
    <w:p>
      <w:pPr>
        <w:spacing w:after="60"/>
      </w:pPr>
    </w:p>
    <w:p>
      <w:pPr>
        <w:widowControl/>
      </w:pPr>
      <w:r>
        <w:rPr>
          <w:rFonts w:ascii="Times New Roman" w:hAnsi="Times New Roman" w:eastAsia="Times New Roman"/>
          <w:color w:val="1F1F1F"/>
          <w:sz w:val="21"/>
        </w:rPr>
        <w:t>Full candidate calibration, donor-grouped cross-validation, reference normalization audit and corrected input/prediction hashes are retained with the analysis code. The original source-label-defined pseudobulk effect is a standardized HC3 model estimate; the unexecuted sensitivity would instead compare donor mean cell-level log1p(CP10K) scores. They are different estimands and must not be compared as effect attenuation. No new multiplicity family was evaluated after corrected calibration failed.</w:t>
      </w:r>
    </w:p>
    <w:p>
      <w:pPr>
        <w:pStyle w:val="Heading1"/>
      </w:pPr>
      <w:r>
        <w:t>Supplementary Table S10 | Uncertainty-method sensitivity for one frozen B_CONV IFN contrast</w:t>
      </w:r>
    </w:p>
    <w:p>
      <w:pPr>
        <w:spacing w:after="100"/>
      </w:pPr>
      <w:r>
        <w:rPr>
          <w:sz w:val="16"/>
        </w:rPr>
        <w:t>Additional measurement-rule sensitivity: methods. In the frozen 68-donor common-support subset (31 controls and 37 source-defined managed-SLE donors), the original pooled-count score was calculated from summed raw IFN counts divided by each donor's full captured-UMI library total (CPM). For the paired fixed-profile score, five within-bin linear full-library CPM profiles were combined using the frozen normal-control pi_ref weights before the same 12-gene log2(CPM + 0.5) T0 transformation and standardization using the fixed 43-control reference means and population SDs. Their within-donor score difference was regressed on the same four original columns: intercept, managed-SLE indicator, age-centred covariate and frozen ethnicity indicator. HC3 variance and the two-sided t(64) critical value were used for the already observed coefficient difference. The G2C interval method was developed after the positive WP1 contrast was known, then evaluated in an independent synthetic validation (40 frozen scenarios: 30 applicable and 10 boundary reports) before the write-once real-data interval. The simulation result qualifies this one interval only within the tested generating regimes and does not qualify other WP2 targets.</w:t>
      </w:r>
    </w:p>
    <w:p>
      <w:pPr>
        <w:spacing w:after="100"/>
      </w:pPr>
      <w:r>
        <w:rPr>
          <w:sz w:val="16"/>
        </w:rPr>
        <w:t>Additional measurement-rule sensitivity: results. On these same 68 donors the adjusted managed-SLE coefficient differed by 0.034925002 T0 units between fixed-profile and pooled-count scoring, equal within numerical precision to the previously observed RP v3 WP1 A1-A0 contrast. The earlier paired-percentile 95% bootstrap interval was 0.013789-0.057130 (2,000 paired donor resamples). The subsequent HC3-t(64) analysis of the identical contrast had a standard error of 0.011559, a 95% interval of 0.011834-0.058016, and a nominal two-sided P value of 0.003612. The procedures share the same donor outcomes, definition, reference and four-column design and must not be counted as independent confirmations.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952"/>
            <w:vAlign w:val="center"/>
          </w:tcPr>
          <w:p>
            <w:pPr>
              <w:spacing w:before="40" w:after="40"/>
            </w:pPr>
            <w:r>
              <w:rPr>
                <w:b/>
                <w:sz w:val="14"/>
              </w:rPr>
              <w:t>Interval procedure (same contrast)</w:t>
            </w:r>
          </w:p>
        </w:tc>
        <w:tc>
          <w:tcPr>
            <w:tcW w:type="dxa" w:w="1440"/>
            <w:vAlign w:val="center"/>
          </w:tcPr>
          <w:p>
            <w:pPr>
              <w:spacing w:before="40" w:after="40"/>
            </w:pPr>
            <w:r>
              <w:rPr>
                <w:b/>
                <w:sz w:val="14"/>
              </w:rPr>
              <w:t>Estimate (T0 units)</w:t>
            </w:r>
          </w:p>
        </w:tc>
        <w:tc>
          <w:tcPr>
            <w:tcW w:type="dxa" w:w="1944"/>
            <w:vAlign w:val="center"/>
          </w:tcPr>
          <w:p>
            <w:pPr>
              <w:spacing w:before="40" w:after="40"/>
            </w:pPr>
            <w:r>
              <w:rPr>
                <w:b/>
                <w:sz w:val="14"/>
              </w:rPr>
              <w:t>95% confidence interval</w:t>
            </w:r>
          </w:p>
        </w:tc>
        <w:tc>
          <w:tcPr>
            <w:tcW w:type="dxa" w:w="2952"/>
            <w:vAlign w:val="center"/>
          </w:tcPr>
          <w:p>
            <w:pPr>
              <w:spacing w:before="40" w:after="40"/>
            </w:pPr>
            <w:r>
              <w:rPr>
                <w:b/>
                <w:sz w:val="14"/>
              </w:rPr>
              <w:t>Interpretive status</w:t>
            </w:r>
          </w:p>
        </w:tc>
      </w:tr>
      <w:tr>
        <w:tc>
          <w:tcPr>
            <w:tcW w:type="dxa" w:w="2952"/>
            <w:vAlign w:val="center"/>
          </w:tcPr>
          <w:p>
            <w:pPr>
              <w:spacing w:before="40" w:after="40"/>
            </w:pPr>
            <w:r>
              <w:rPr>
                <w:sz w:val="14"/>
              </w:rPr>
              <w:t>WP1 paired percentile bootstrap; 2,000 donor resamples</w:t>
            </w:r>
          </w:p>
        </w:tc>
        <w:tc>
          <w:tcPr>
            <w:tcW w:type="dxa" w:w="1440"/>
            <w:vAlign w:val="center"/>
          </w:tcPr>
          <w:p>
            <w:pPr>
              <w:spacing w:before="40" w:after="40"/>
            </w:pPr>
            <w:r>
              <w:rPr>
                <w:sz w:val="14"/>
              </w:rPr>
              <w:t>0.034925</w:t>
            </w:r>
          </w:p>
        </w:tc>
        <w:tc>
          <w:tcPr>
            <w:tcW w:type="dxa" w:w="1944"/>
            <w:vAlign w:val="center"/>
          </w:tcPr>
          <w:p>
            <w:pPr>
              <w:spacing w:before="40" w:after="40"/>
            </w:pPr>
            <w:r>
              <w:rPr>
                <w:sz w:val="14"/>
              </w:rPr>
              <w:t>0.013789 to 0.057130</w:t>
            </w:r>
          </w:p>
        </w:tc>
        <w:tc>
          <w:tcPr>
            <w:tcW w:type="dxa" w:w="2952"/>
            <w:vAlign w:val="center"/>
          </w:tcPr>
          <w:p>
            <w:pPr>
              <w:spacing w:before="40" w:after="40"/>
            </w:pPr>
            <w:r>
              <w:rPr>
                <w:sz w:val="14"/>
              </w:rPr>
              <w:t>Earlier observed result; no independent replication</w:t>
            </w:r>
          </w:p>
        </w:tc>
      </w:tr>
      <w:tr>
        <w:tc>
          <w:tcPr>
            <w:tcW w:type="dxa" w:w="2952"/>
            <w:vAlign w:val="center"/>
          </w:tcPr>
          <w:p>
            <w:pPr>
              <w:spacing w:before="40" w:after="40"/>
            </w:pPr>
            <w:r>
              <w:rPr>
                <w:sz w:val="14"/>
              </w:rPr>
              <w:t>Stage I donor OLS + HC3, t(64)</w:t>
            </w:r>
          </w:p>
        </w:tc>
        <w:tc>
          <w:tcPr>
            <w:tcW w:type="dxa" w:w="1440"/>
            <w:vAlign w:val="center"/>
          </w:tcPr>
          <w:p>
            <w:pPr>
              <w:spacing w:before="40" w:after="40"/>
            </w:pPr>
            <w:r>
              <w:rPr>
                <w:sz w:val="14"/>
              </w:rPr>
              <w:t>0.034925</w:t>
            </w:r>
          </w:p>
        </w:tc>
        <w:tc>
          <w:tcPr>
            <w:tcW w:type="dxa" w:w="1944"/>
            <w:vAlign w:val="center"/>
          </w:tcPr>
          <w:p>
            <w:pPr>
              <w:spacing w:before="40" w:after="40"/>
            </w:pPr>
            <w:r>
              <w:rPr>
                <w:sz w:val="14"/>
              </w:rPr>
              <w:t>0.011834 to 0.058016</w:t>
            </w:r>
          </w:p>
        </w:tc>
        <w:tc>
          <w:tcPr>
            <w:tcW w:type="dxa" w:w="2952"/>
            <w:vAlign w:val="center"/>
          </w:tcPr>
          <w:p>
            <w:pPr>
              <w:spacing w:before="40" w:after="40"/>
            </w:pPr>
            <w:r>
              <w:rPr>
                <w:sz w:val="14"/>
              </w:rPr>
              <w:t>Uncertainty re-estimation for the same contrast; nominal P = 0.003612</w:t>
            </w:r>
          </w:p>
        </w:tc>
      </w:tr>
    </w:tbl>
    <w:p>
      <w:pPr/>
      <w:r>
        <w:rPr>
          <w:sz w:val="16"/>
        </w:rPr>
        <w:t>Table S10 note. Both rows describe one observed contrast and one 68-donor analysis set, not two independent studies. The original percentile interval was not qualified under the later, full ten-target G2/G2B performance contract; G2C independently qualified only the single delta_profile HC3–t(64) procedure in its prespecified simulation domains. The Stage I analysis and nominal P value are outcome-exposed relative to WP1's earlier positive result; the P value does not undo multiple-analysis selection or establish independent confirmatory status. Fixed-profile weights are based on reference cell fractions but mix within-bin observed CPM profiles, whereas pooled-count CPM is captured-UMI-weighted. This difference can reflect UMI/capture and nonlinear measurement effects; it is not a causal composition mediation effect, a cell-intrinsic response, or a clinically calibrated change. It must not be compared numerically with the original 89-pseudobulk TMM-score disease effect.</w:t>
      </w:r>
    </w:p>
    <w:p>
      <w:pPr>
        <w:pStyle w:val="Heading1"/>
        <w:keepNext/>
      </w:pPr>
      <w:r>
        <w:rPr>
          <w:rFonts w:ascii="Times New Roman" w:hAnsi="Times New Roman" w:eastAsia="Times New Roman"/>
          <w:color w:val="1F1F1F"/>
          <w:sz w:val="28"/>
        </w:rPr>
        <w:t>Supplementary Figure S1 | Source integrity and hard-quality-control diagnostics</w:t>
      </w:r>
    </w:p>
    <w:p>
      <w:pPr>
        <w:keepNext/>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Hard-QC failure fractions by processing cohort and disease group. </w:t>
      </w:r>
      <w:r>
        <w:rPr>
          <w:rFonts w:ascii="Times New Roman" w:hAnsi="Times New Roman" w:eastAsia="Times New Roman"/>
          <w:b/>
          <w:color w:val="1F1F1F"/>
          <w:sz w:val="21"/>
        </w:rPr>
        <w:t>b,</w:t>
      </w:r>
      <w:r>
        <w:rPr>
          <w:rFonts w:ascii="Times New Roman" w:hAnsi="Times New Roman" w:eastAsia="Times New Roman"/>
          <w:color w:val="1F1F1F"/>
          <w:sz w:val="21"/>
        </w:rPr>
        <w:t xml:space="preserve"> Residual-risk call fraction versus cells per library, coloured by the library median score. </w:t>
      </w:r>
      <w:r>
        <w:rPr>
          <w:rFonts w:ascii="Times New Roman" w:hAnsi="Times New Roman" w:eastAsia="Times New Roman"/>
          <w:b/>
          <w:color w:val="1F1F1F"/>
          <w:sz w:val="21"/>
        </w:rPr>
        <w:t>c,</w:t>
      </w:r>
      <w:r>
        <w:rPr>
          <w:rFonts w:ascii="Times New Roman" w:hAnsi="Times New Roman" w:eastAsia="Times New Roman"/>
          <w:color w:val="1F1F1F"/>
          <w:sz w:val="21"/>
        </w:rPr>
        <w:t xml:space="preserve"> Percent and exact number of retained risk-negative cells and sensitivity-only residual-risk calls among 150,402 hard-QC B-lineage cells. </w:t>
      </w:r>
      <w:r>
        <w:rPr>
          <w:rFonts w:ascii="Times New Roman" w:hAnsi="Times New Roman" w:eastAsia="Times New Roman"/>
          <w:b/>
          <w:color w:val="1F1F1F"/>
          <w:sz w:val="21"/>
        </w:rPr>
        <w:t>d,</w:t>
      </w:r>
      <w:r>
        <w:rPr>
          <w:rFonts w:ascii="Times New Roman" w:hAnsi="Times New Roman" w:eastAsia="Times New Roman"/>
          <w:color w:val="1F1F1F"/>
          <w:sz w:val="21"/>
        </w:rPr>
        <w:t xml:space="preserve"> Median, 95th-percentile and threshold residual-risk scores for all 88 libraries.</w:t>
      </w:r>
    </w:p>
    <w:p>
      <w:pPr>
        <w:jc w:val="center"/>
      </w:pPr>
      <w:r>
        <w:drawing>
          <wp:inline xmlns:a="http://schemas.openxmlformats.org/drawingml/2006/main" xmlns:pic="http://schemas.openxmlformats.org/drawingml/2006/picture">
            <wp:extent cx="5806440" cy="4217081"/>
            <wp:docPr id="1" name="Picture 1" title="Supplementary Figure S1" descr="Supplementary Figure S1; full panel description appears immediately above the figure."/>
            <wp:cNvGraphicFramePr>
              <a:graphicFrameLocks noChangeAspect="1"/>
            </wp:cNvGraphicFramePr>
            <a:graphic>
              <a:graphicData uri="http://schemas.openxmlformats.org/drawingml/2006/picture">
                <pic:pic>
                  <pic:nvPicPr>
                    <pic:cNvPr id="0" name="Supplementary_Figure_S1_source_integrity_qc.png"/>
                    <pic:cNvPicPr/>
                  </pic:nvPicPr>
                  <pic:blipFill>
                    <a:blip r:embed="rId13"/>
                    <a:stretch>
                      <a:fillRect/>
                    </a:stretch>
                  </pic:blipFill>
                  <pic:spPr>
                    <a:xfrm>
                      <a:off x="0" y="0"/>
                      <a:ext cx="5806440" cy="4217081"/>
                    </a:xfrm>
                    <a:prstGeom prst="rect"/>
                  </pic:spPr>
                </pic:pic>
              </a:graphicData>
            </a:graphic>
          </wp:inline>
        </w:drawing>
      </w:r>
    </w:p>
    <w:p>
      <w:pPr>
        <w:pStyle w:val="Heading1"/>
        <w:pageBreakBefore/>
        <w:spacing w:before="0"/>
      </w:pPr>
      <w:r>
        <w:rPr>
          <w:rFonts w:ascii="Times New Roman" w:hAnsi="Times New Roman" w:eastAsia="Times New Roman"/>
          <w:color w:val="1F1F1F"/>
          <w:sz w:val="28"/>
        </w:rPr>
        <w:t>Supplementary Figure S2 | Representation and bridge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Same-group neighbourhood concentration before and after Harmony adjustment. </w:t>
      </w:r>
      <w:r>
        <w:rPr>
          <w:rFonts w:ascii="Times New Roman" w:hAnsi="Times New Roman" w:eastAsia="Times New Roman"/>
          <w:b/>
          <w:color w:val="1F1F1F"/>
          <w:sz w:val="21"/>
        </w:rPr>
        <w:t>b,</w:t>
      </w:r>
      <w:r>
        <w:rPr>
          <w:rFonts w:ascii="Times New Roman" w:hAnsi="Times New Roman" w:eastAsia="Times New Roman"/>
          <w:color w:val="1F1F1F"/>
          <w:sz w:val="21"/>
        </w:rPr>
        <w:t xml:space="preserve"> Cross-cohort bridge-pair cosine-distance distributions. </w:t>
      </w:r>
      <w:r>
        <w:rPr>
          <w:rFonts w:ascii="Times New Roman" w:hAnsi="Times New Roman" w:eastAsia="Times New Roman"/>
          <w:b/>
          <w:color w:val="1F1F1F"/>
          <w:sz w:val="21"/>
        </w:rPr>
        <w:t>c,</w:t>
      </w:r>
      <w:r>
        <w:rPr>
          <w:rFonts w:ascii="Times New Roman" w:hAnsi="Times New Roman" w:eastAsia="Times New Roman"/>
          <w:color w:val="1F1F1F"/>
          <w:sz w:val="21"/>
        </w:rPr>
        <w:t xml:space="preserve"> Disease-blind branch concordance across Leiden resolutions for residual-risk-negative and strong-ISG-excluded branches; the vertical guide marks the primary resolution. </w:t>
      </w:r>
      <w:r>
        <w:rPr>
          <w:rFonts w:ascii="Times New Roman" w:hAnsi="Times New Roman" w:eastAsia="Times New Roman"/>
          <w:b/>
          <w:color w:val="1F1F1F"/>
          <w:sz w:val="21"/>
        </w:rPr>
        <w:t>d,</w:t>
      </w:r>
      <w:r>
        <w:rPr>
          <w:rFonts w:ascii="Times New Roman" w:hAnsi="Times New Roman" w:eastAsia="Times New Roman"/>
          <w:color w:val="1F1F1F"/>
          <w:sz w:val="21"/>
        </w:rPr>
        <w:t xml:space="preserve"> Biological marker-module localization across the five fine clusters considered before stability adjudication.</w:t>
      </w:r>
    </w:p>
    <w:p>
      <w:pPr>
        <w:jc w:val="center"/>
      </w:pPr>
      <w:r>
        <w:drawing>
          <wp:inline xmlns:a="http://schemas.openxmlformats.org/drawingml/2006/main" xmlns:pic="http://schemas.openxmlformats.org/drawingml/2006/picture">
            <wp:extent cx="5806440" cy="4299513"/>
            <wp:docPr id="2" name="Picture 2" title="Supplementary Figure S2" descr="Supplementary Figure S2; full panel description appears immediately above the figure."/>
            <wp:cNvGraphicFramePr>
              <a:graphicFrameLocks noChangeAspect="1"/>
            </wp:cNvGraphicFramePr>
            <a:graphic>
              <a:graphicData uri="http://schemas.openxmlformats.org/drawingml/2006/picture">
                <pic:pic>
                  <pic:nvPicPr>
                    <pic:cNvPr id="0" name="Supplementary_Figure_S2_representation_diagnostics.png"/>
                    <pic:cNvPicPr/>
                  </pic:nvPicPr>
                  <pic:blipFill>
                    <a:blip r:embed="rId14"/>
                    <a:stretch>
                      <a:fillRect/>
                    </a:stretch>
                  </pic:blipFill>
                  <pic:spPr>
                    <a:xfrm>
                      <a:off x="0" y="0"/>
                      <a:ext cx="5806440" cy="42995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S3 | Fine-state failure and transition structure</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Median and minimum cluster Jaccard values localize instability to fine-state membership across the five-, four- and three-state policies considered before broad adjudication. </w:t>
      </w:r>
      <w:r>
        <w:rPr>
          <w:rFonts w:ascii="Times New Roman" w:hAnsi="Times New Roman" w:eastAsia="Times New Roman"/>
          <w:b/>
          <w:color w:val="1F1F1F"/>
          <w:sz w:val="21"/>
        </w:rPr>
        <w:t>b,</w:t>
      </w:r>
      <w:r>
        <w:rPr>
          <w:rFonts w:ascii="Times New Roman" w:hAnsi="Times New Roman" w:eastAsia="Times New Roman"/>
          <w:color w:val="1F1F1F"/>
          <w:sz w:val="21"/>
        </w:rPr>
        <w:t xml:space="preserve"> Mean transition matrix from original resolution-0.4 clusters to mapped reference clusters across frozen-representation resamples. These diagnostics explain the transition to the broad B_CONV/B_ASC analysis scaffold; broad-state pass criteria are shown in Fig. 1 and end-to-end reconstruction is shown in Supplementary Fig. S4. Highly variable genes, principal components and Harmony coordinates were not recomputed in this figure.</w:t>
      </w:r>
    </w:p>
    <w:p>
      <w:pPr>
        <w:jc w:val="center"/>
      </w:pPr>
      <w:r>
        <w:drawing>
          <wp:inline xmlns:a="http://schemas.openxmlformats.org/drawingml/2006/main" xmlns:pic="http://schemas.openxmlformats.org/drawingml/2006/picture">
            <wp:extent cx="5806440" cy="2937205"/>
            <wp:docPr id="3" name="Picture 3" title="Supplementary Figure S3" descr="Supplementary Figure S3; full panel description appears immediately above the figure."/>
            <wp:cNvGraphicFramePr>
              <a:graphicFrameLocks noChangeAspect="1"/>
            </wp:cNvGraphicFramePr>
            <a:graphic>
              <a:graphicData uri="http://schemas.openxmlformats.org/drawingml/2006/picture">
                <pic:pic>
                  <pic:nvPicPr>
                    <pic:cNvPr id="0" name="Supplementary_Figure_S3_fine_state_failure_transition_structure.png"/>
                    <pic:cNvPicPr/>
                  </pic:nvPicPr>
                  <pic:blipFill>
                    <a:blip r:embed="rId15"/>
                    <a:stretch>
                      <a:fillRect/>
                    </a:stretch>
                  </pic:blipFill>
                  <pic:spPr>
                    <a:xfrm>
                      <a:off x="0" y="0"/>
                      <a:ext cx="5806440" cy="2937205"/>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S4 | End-to-end reconstruction exposes a B_ASC-specific boundary without changing the disease conclusions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Observed values and prespecified criteria for five end-to-end two-compartment checks; four met their criteria and minimum state-median Jaccard did not. </w:t>
      </w:r>
      <w:r>
        <w:rPr>
          <w:rFonts w:ascii="Times New Roman" w:hAnsi="Times New Roman" w:eastAsia="Times New Roman"/>
          <w:b/>
          <w:color w:val="1F1F1F"/>
          <w:sz w:val="21"/>
        </w:rPr>
        <w:t>b,</w:t>
      </w:r>
      <w:r>
        <w:rPr>
          <w:rFonts w:ascii="Times New Roman" w:hAnsi="Times New Roman" w:eastAsia="Times New Roman"/>
          <w:color w:val="1F1F1F"/>
          <w:sz w:val="21"/>
        </w:rPr>
        <w:t xml:space="preserve"> State Jaccard across 20 complete reconstruction replicates localizes the unmet overlap criterion to B_ASC, while B_CONV remains above 0.95. </w:t>
      </w:r>
      <w:r>
        <w:rPr>
          <w:rFonts w:ascii="Times New Roman" w:hAnsi="Times New Roman" w:eastAsia="Times New Roman"/>
          <w:b/>
          <w:color w:val="1F1F1F"/>
          <w:sz w:val="21"/>
        </w:rPr>
        <w:t>c,</w:t>
      </w:r>
      <w:r>
        <w:rPr>
          <w:rFonts w:ascii="Times New Roman" w:hAnsi="Times New Roman" w:eastAsia="Times New Roman"/>
          <w:color w:val="1F1F1F"/>
          <w:sz w:val="21"/>
        </w:rPr>
        <w:t xml:space="preserve"> Counts of sampled cells exchanged across the B_CONV/B_ASC boundary. </w:t>
      </w:r>
      <w:r>
        <w:rPr>
          <w:rFonts w:ascii="Times New Roman" w:hAnsi="Times New Roman" w:eastAsia="Times New Roman"/>
          <w:b/>
          <w:color w:val="1F1F1F"/>
          <w:sz w:val="21"/>
        </w:rPr>
        <w:t>d,</w:t>
      </w:r>
      <w:r>
        <w:rPr>
          <w:rFonts w:ascii="Times New Roman" w:hAnsi="Times New Roman" w:eastAsia="Times New Roman"/>
          <w:color w:val="1F1F1F"/>
          <w:sz w:val="21"/>
        </w:rPr>
        <w:t xml:space="preserve"> Primary B_ASC composition odds ratios and 95% confidence intervals after each observed boundary exchange; the dashed guide marks one and the orange line marks the frozen estimate. </w:t>
      </w:r>
      <w:r>
        <w:rPr>
          <w:rFonts w:ascii="Times New Roman" w:hAnsi="Times New Roman" w:eastAsia="Times New Roman"/>
          <w:b/>
          <w:color w:val="1F1F1F"/>
          <w:sz w:val="21"/>
        </w:rPr>
        <w:t>e,</w:t>
      </w:r>
      <w:r>
        <w:rPr>
          <w:rFonts w:ascii="Times New Roman" w:hAnsi="Times New Roman" w:eastAsia="Times New Roman"/>
          <w:color w:val="1F1F1F"/>
          <w:sz w:val="21"/>
        </w:rPr>
        <w:t xml:space="preserve"> Primary and donor-nonoverlap B_CONV IFN/ISG effects after boundary-cell raw counts were propagated through frozen TMM logCPM and HC3 models; dotted lines mark the frozen effects. All propagation analyses reuse GSE174188 and quantify assignment sensitivity rather than independent replication.</w:t>
      </w:r>
    </w:p>
    <w:p>
      <w:pPr>
        <w:jc w:val="center"/>
      </w:pPr>
      <w:r>
        <w:drawing>
          <wp:inline xmlns:a="http://schemas.openxmlformats.org/drawingml/2006/main" xmlns:pic="http://schemas.openxmlformats.org/drawingml/2006/picture">
            <wp:extent cx="5806440" cy="5465140"/>
            <wp:docPr id="4" name="Picture 4" title="Supplementary Figure S4" descr="Supplementary Figure S4; full panel description appears immediately above the figure."/>
            <wp:cNvGraphicFramePr>
              <a:graphicFrameLocks noChangeAspect="1"/>
            </wp:cNvGraphicFramePr>
            <a:graphic>
              <a:graphicData uri="http://schemas.openxmlformats.org/drawingml/2006/picture">
                <pic:pic>
                  <pic:nvPicPr>
                    <pic:cNvPr id="0" name="Supplementary_Figure_S4_identity_boundary_and_propagation.png"/>
                    <pic:cNvPicPr/>
                  </pic:nvPicPr>
                  <pic:blipFill>
                    <a:blip r:embed="rId16"/>
                    <a:stretch>
                      <a:fillRect/>
                    </a:stretch>
                  </pic:blipFill>
                  <pic:spPr>
                    <a:xfrm>
                      <a:off x="0" y="0"/>
                      <a:ext cx="5806440" cy="5465140"/>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S5 | Composition-model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Total and zero-ASC sample-cohort strata in the three base contrasts. </w:t>
      </w:r>
      <w:r>
        <w:rPr>
          <w:rFonts w:ascii="Times New Roman" w:hAnsi="Times New Roman" w:eastAsia="Times New Roman"/>
          <w:b/>
          <w:color w:val="1F1F1F"/>
          <w:sz w:val="21"/>
        </w:rPr>
        <w:t>b,</w:t>
      </w:r>
      <w:r>
        <w:rPr>
          <w:rFonts w:ascii="Times New Roman" w:hAnsi="Times New Roman" w:eastAsia="Times New Roman"/>
          <w:color w:val="1F1F1F"/>
          <w:sz w:val="21"/>
        </w:rPr>
        <w:t xml:space="preserve"> Primary B_ASC odds ratios under support, explicit non-B and residual-risk policies using observed-information and HC1 covariance. </w:t>
      </w:r>
      <w:r>
        <w:rPr>
          <w:rFonts w:ascii="Times New Roman" w:hAnsi="Times New Roman" w:eastAsia="Times New Roman"/>
          <w:b/>
          <w:color w:val="1F1F1F"/>
          <w:sz w:val="21"/>
        </w:rPr>
        <w:t>c,</w:t>
      </w:r>
      <w:r>
        <w:rPr>
          <w:rFonts w:ascii="Times New Roman" w:hAnsi="Times New Roman" w:eastAsia="Times New Roman"/>
          <w:color w:val="1F1F1F"/>
          <w:sz w:val="21"/>
        </w:rPr>
        <w:t xml:space="preserve"> Firth-logistic ASC-presence sensitivity. </w:t>
      </w:r>
      <w:r>
        <w:rPr>
          <w:rFonts w:ascii="Times New Roman" w:hAnsi="Times New Roman" w:eastAsia="Times New Roman"/>
          <w:b/>
          <w:color w:val="1F1F1F"/>
          <w:sz w:val="21"/>
        </w:rPr>
        <w:t>d,</w:t>
      </w:r>
      <w:r>
        <w:rPr>
          <w:rFonts w:ascii="Times New Roman" w:hAnsi="Times New Roman" w:eastAsia="Times New Roman"/>
          <w:color w:val="1F1F1F"/>
          <w:sz w:val="21"/>
        </w:rPr>
        <w:t xml:space="preserve"> Positive-only abundance sensitivity using HC3 uncertainty. Panels c-d use logarithmic ratio axes with the null fixed at one; the two-part models are sensitivity analyses and do not replace the frozen beta-binomial primary model.</w:t>
      </w:r>
    </w:p>
    <w:p>
      <w:pPr>
        <w:jc w:val="center"/>
      </w:pPr>
      <w:r>
        <w:drawing>
          <wp:inline xmlns:a="http://schemas.openxmlformats.org/drawingml/2006/main" xmlns:pic="http://schemas.openxmlformats.org/drawingml/2006/picture">
            <wp:extent cx="5806440" cy="4299513"/>
            <wp:docPr id="5" name="Picture 5" title="Supplementary Figure S5" descr="Supplementary Figure S5; full panel description appears immediately above the figure."/>
            <wp:cNvGraphicFramePr>
              <a:graphicFrameLocks noChangeAspect="1"/>
            </wp:cNvGraphicFramePr>
            <a:graphic>
              <a:graphicData uri="http://schemas.openxmlformats.org/drawingml/2006/picture">
                <pic:pic>
                  <pic:nvPicPr>
                    <pic:cNvPr id="0" name="Supplementary_Figure_S5_composition_diagnostics.png"/>
                    <pic:cNvPicPr/>
                  </pic:nvPicPr>
                  <pic:blipFill>
                    <a:blip r:embed="rId17"/>
                    <a:stretch>
                      <a:fillRect/>
                    </a:stretch>
                  </pic:blipFill>
                  <pic:spPr>
                    <a:xfrm>
                      <a:off x="0" y="0"/>
                      <a:ext cx="5806440" cy="42995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S6 | Pseudobulk and ranked-list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Numbers of filterByExpr-tested and BH-significant genes across seven GSE174188 branches. </w:t>
      </w:r>
      <w:r>
        <w:rPr>
          <w:rFonts w:ascii="Times New Roman" w:hAnsi="Times New Roman" w:eastAsia="Times New Roman"/>
          <w:b/>
          <w:color w:val="1F1F1F"/>
          <w:sz w:val="21"/>
        </w:rPr>
        <w:t>b,</w:t>
      </w:r>
      <w:r>
        <w:rPr>
          <w:rFonts w:ascii="Times New Roman" w:hAnsi="Times New Roman" w:eastAsia="Times New Roman"/>
          <w:color w:val="1F1F1F"/>
          <w:sz w:val="21"/>
        </w:rPr>
        <w:t xml:space="preserve"> Common and median tagwise edgeR dispersions. </w:t>
      </w:r>
      <w:r>
        <w:rPr>
          <w:rFonts w:ascii="Times New Roman" w:hAnsi="Times New Roman" w:eastAsia="Times New Roman"/>
          <w:b/>
          <w:color w:val="1F1F1F"/>
          <w:sz w:val="21"/>
        </w:rPr>
        <w:t>c,</w:t>
      </w:r>
      <w:r>
        <w:rPr>
          <w:rFonts w:ascii="Times New Roman" w:hAnsi="Times New Roman" w:eastAsia="Times New Roman"/>
          <w:color w:val="1F1F1F"/>
          <w:sz w:val="21"/>
        </w:rPr>
        <w:t xml:space="preserve"> Mitochondrial, ribosomal, haemoglobin and immunoglobulin fractions among increasingly long primary ranked lists. IFN/ISG estimates across the frozen GSE174188 branches are owned by Fig. 3b and are not repeated here.</w:t>
      </w:r>
    </w:p>
    <w:p>
      <w:pPr>
        <w:jc w:val="center"/>
      </w:pPr>
      <w:r>
        <w:drawing>
          <wp:inline xmlns:a="http://schemas.openxmlformats.org/drawingml/2006/main" xmlns:pic="http://schemas.openxmlformats.org/drawingml/2006/picture">
            <wp:extent cx="5806440" cy="3551835"/>
            <wp:docPr id="6" name="Picture 6" title="Supplementary Figure S6" descr="Supplementary Figure S6; full panel description appears immediately above the figure."/>
            <wp:cNvGraphicFramePr>
              <a:graphicFrameLocks noChangeAspect="1"/>
            </wp:cNvGraphicFramePr>
            <a:graphic>
              <a:graphicData uri="http://schemas.openxmlformats.org/drawingml/2006/picture">
                <pic:pic>
                  <pic:nvPicPr>
                    <pic:cNvPr id="0" name="Supplementary_Figure_S6_pseudobulk_ranked_list_diagnostics.png"/>
                    <pic:cNvPicPr/>
                  </pic:nvPicPr>
                  <pic:blipFill>
                    <a:blip r:embed="rId18"/>
                    <a:stretch>
                      <a:fillRect/>
                    </a:stretch>
                  </pic:blipFill>
                  <pic:spPr>
                    <a:xfrm>
                      <a:off x="0" y="0"/>
                      <a:ext cx="5806440" cy="3551835"/>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S7 | GSE135779 replication and robustness diagnostics</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Control and SLE donor counts across the five GSE135779 models. </w:t>
      </w:r>
      <w:r>
        <w:rPr>
          <w:rFonts w:ascii="Times New Roman" w:hAnsi="Times New Roman" w:eastAsia="Times New Roman"/>
          <w:b/>
          <w:color w:val="1F1F1F"/>
          <w:sz w:val="21"/>
        </w:rPr>
        <w:t>b,</w:t>
      </w:r>
      <w:r>
        <w:rPr>
          <w:rFonts w:ascii="Times New Roman" w:hAnsi="Times New Roman" w:eastAsia="Times New Roman"/>
          <w:color w:val="1F1F1F"/>
          <w:sz w:val="21"/>
        </w:rPr>
        <w:t xml:space="preserve"> Four-program childhood estimates. </w:t>
      </w:r>
      <w:r>
        <w:rPr>
          <w:rFonts w:ascii="Times New Roman" w:hAnsi="Times New Roman" w:eastAsia="Times New Roman"/>
          <w:b/>
          <w:color w:val="1F1F1F"/>
          <w:sz w:val="21"/>
        </w:rPr>
        <w:t>c,</w:t>
      </w:r>
      <w:r>
        <w:rPr>
          <w:rFonts w:ascii="Times New Roman" w:hAnsi="Times New Roman" w:eastAsia="Times New Roman"/>
          <w:color w:val="1F1F1F"/>
          <w:sz w:val="21"/>
        </w:rPr>
        <w:t xml:space="preserve"> Childhood IFN/ISG estimates after omission of each source B-cell label. </w:t>
      </w:r>
      <w:r>
        <w:rPr>
          <w:rFonts w:ascii="Times New Roman" w:hAnsi="Times New Roman" w:eastAsia="Times New Roman"/>
          <w:b/>
          <w:color w:val="1F1F1F"/>
          <w:sz w:val="21"/>
        </w:rPr>
        <w:t>d,</w:t>
      </w:r>
      <w:r>
        <w:rPr>
          <w:rFonts w:ascii="Times New Roman" w:hAnsi="Times New Roman" w:eastAsia="Times New Roman"/>
          <w:color w:val="1F1F1F"/>
          <w:sz w:val="21"/>
        </w:rPr>
        <w:t xml:space="preserve"> Full childhood program effects and ranges across donor-deletion analyses.</w:t>
      </w:r>
    </w:p>
    <w:p>
      <w:pPr>
        <w:jc w:val="center"/>
      </w:pPr>
      <w:r>
        <w:drawing>
          <wp:inline xmlns:a="http://schemas.openxmlformats.org/drawingml/2006/main" xmlns:pic="http://schemas.openxmlformats.org/drawingml/2006/picture">
            <wp:extent cx="5806440" cy="4381946"/>
            <wp:docPr id="7" name="Picture 7" title="Supplementary Figure S7" descr="Supplementary Figure S7; full panel description appears immediately above the figure."/>
            <wp:cNvGraphicFramePr>
              <a:graphicFrameLocks noChangeAspect="1"/>
            </wp:cNvGraphicFramePr>
            <a:graphic>
              <a:graphicData uri="http://schemas.openxmlformats.org/drawingml/2006/picture">
                <pic:pic>
                  <pic:nvPicPr>
                    <pic:cNvPr id="0" name="Supplementary_Figure_S7_replication_robustness_diagnostics.png"/>
                    <pic:cNvPicPr/>
                  </pic:nvPicPr>
                  <pic:blipFill>
                    <a:blip r:embed="rId19"/>
                    <a:stretch>
                      <a:fillRect/>
                    </a:stretch>
                  </pic:blipFill>
                  <pic:spPr>
                    <a:xfrm>
                      <a:off x="0" y="0"/>
                      <a:ext cx="5806440" cy="4381946"/>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S8 | Reference calibration limits source-label-independent external transfer</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Median and interquartile range of full-library divided by selected-feature counts among 13,000 B_CONV and 1,300 B_ASC reference training cells. This ratio quantifies the legacy pre-log scaling discrepancy; corrected mapping uses full-library denominators in both datasets. </w:t>
      </w:r>
      <w:r>
        <w:rPr>
          <w:rFonts w:ascii="Times New Roman" w:hAnsi="Times New Roman" w:eastAsia="Times New Roman"/>
          <w:b/>
          <w:color w:val="1F1F1F"/>
          <w:sz w:val="21"/>
        </w:rPr>
        <w:t>b,</w:t>
      </w:r>
      <w:r>
        <w:rPr>
          <w:rFonts w:ascii="Times New Roman" w:hAnsi="Times New Roman" w:eastAsia="Times New Roman"/>
          <w:color w:val="1F1F1F"/>
          <w:sz w:val="21"/>
        </w:rPr>
        <w:t xml:space="preserve"> Per-state precision at the diagnostic elastic-net and eligible centroid thresholds. Mapper colour is held constant across panels b-d, marker shape distinguishes B_CONV from B_ASC, and the dashed line is the unchanged 0.90 state-precision criterion. </w:t>
      </w:r>
      <w:r>
        <w:rPr>
          <w:rFonts w:ascii="Times New Roman" w:hAnsi="Times New Roman" w:eastAsia="Times New Roman"/>
          <w:b/>
          <w:color w:val="1F1F1F"/>
          <w:sz w:val="21"/>
        </w:rPr>
        <w:t>c,</w:t>
      </w:r>
      <w:r>
        <w:rPr>
          <w:rFonts w:ascii="Times New Roman" w:hAnsi="Times New Roman" w:eastAsia="Times New Roman"/>
          <w:color w:val="1F1F1F"/>
          <w:sz w:val="21"/>
        </w:rPr>
        <w:t xml:space="preserve"> Reference-cell coverage at those thresholds; the dashed line is the unchanged 0.80 criterion. </w:t>
      </w:r>
      <w:r>
        <w:rPr>
          <w:rFonts w:ascii="Times New Roman" w:hAnsi="Times New Roman" w:eastAsia="Times New Roman"/>
          <w:b/>
          <w:color w:val="1F1F1F"/>
          <w:sz w:val="21"/>
        </w:rPr>
        <w:t>d,</w:t>
      </w:r>
      <w:r>
        <w:rPr>
          <w:rFonts w:ascii="Times New Roman" w:hAnsi="Times New Roman" w:eastAsia="Times New Roman"/>
          <w:color w:val="1F1F1F"/>
          <w:sz w:val="21"/>
        </w:rPr>
        <w:t xml:space="preserve"> Balanced accuracy in each of five donor-grouped reference calibration folds; black horizontal bars show fold means. No eligibility guide is drawn because balanced accuracy is diagnostic only. These folds select model and threshold parameters, not independent performance estimates. The elastic-net B_ASC precision failure prevents outcome access; centroid success is not a replacement analysis. No corrected external disease result is shown.</w:t>
      </w:r>
    </w:p>
    <w:p>
      <w:pPr>
        <w:jc w:val="center"/>
      </w:pPr>
      <w:r>
        <w:drawing>
          <wp:inline xmlns:a="http://schemas.openxmlformats.org/drawingml/2006/main" xmlns:pic="http://schemas.openxmlformats.org/drawingml/2006/picture">
            <wp:extent cx="5806440" cy="3757193"/>
            <wp:docPr id="8" name="Picture 8" title="Supplementary Figure S8" descr="Supplementary Figure S8; full panel description appears immediately above the figure."/>
            <wp:cNvGraphicFramePr>
              <a:graphicFrameLocks noChangeAspect="1"/>
            </wp:cNvGraphicFramePr>
            <a:graphic>
              <a:graphicData uri="http://schemas.openxmlformats.org/drawingml/2006/picture">
                <pic:pic>
                  <pic:nvPicPr>
                    <pic:cNvPr id="0" name="Supplementary_Figure_S8_reference_calibration_boundary.png"/>
                    <pic:cNvPicPr/>
                  </pic:nvPicPr>
                  <pic:blipFill>
                    <a:blip r:embed="rId20"/>
                    <a:stretch>
                      <a:fillRect/>
                    </a:stretch>
                  </pic:blipFill>
                  <pic:spPr>
                    <a:xfrm>
                      <a:off x="0" y="0"/>
                      <a:ext cx="5806440" cy="375719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S9 | Correlation-aware regulator sensitivity</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CAMERA and FRY six-test BH concordance for STAT1 and STAT2. Dashed guides indicate q=0.05. </w:t>
      </w:r>
      <w:r>
        <w:rPr>
          <w:rFonts w:ascii="Times New Roman" w:hAnsi="Times New Roman" w:eastAsia="Times New Roman"/>
          <w:b/>
          <w:color w:val="1F1F1F"/>
          <w:sz w:val="21"/>
        </w:rPr>
        <w:t>b,</w:t>
      </w:r>
      <w:r>
        <w:rPr>
          <w:rFonts w:ascii="Times New Roman" w:hAnsi="Times New Roman" w:eastAsia="Times New Roman"/>
          <w:color w:val="1F1F1F"/>
          <w:sz w:val="21"/>
        </w:rPr>
        <w:t xml:space="preserve"> CAMERA residual-estimated inter-gene correlations. </w:t>
      </w:r>
      <w:r>
        <w:rPr>
          <w:rFonts w:ascii="Times New Roman" w:hAnsi="Times New Roman" w:eastAsia="Times New Roman"/>
          <w:b/>
          <w:color w:val="1F1F1F"/>
          <w:sz w:val="21"/>
        </w:rPr>
        <w:t>c,</w:t>
      </w:r>
      <w:r>
        <w:rPr>
          <w:rFonts w:ascii="Times New Roman" w:hAnsi="Times New Roman" w:eastAsia="Times New Roman"/>
          <w:color w:val="1F1F1F"/>
          <w:sz w:val="21"/>
        </w:rPr>
        <w:t xml:space="preserve"> Exact CAMERA and FRY BH q values. </w:t>
      </w:r>
      <w:r>
        <w:rPr>
          <w:rFonts w:ascii="Times New Roman" w:hAnsi="Times New Roman" w:eastAsia="Times New Roman"/>
          <w:b/>
          <w:color w:val="1F1F1F"/>
          <w:sz w:val="21"/>
        </w:rPr>
        <w:t>d,</w:t>
      </w:r>
      <w:r>
        <w:rPr>
          <w:rFonts w:ascii="Times New Roman" w:hAnsi="Times New Roman" w:eastAsia="Times New Roman"/>
          <w:color w:val="1F1F1F"/>
          <w:sz w:val="21"/>
        </w:rPr>
        <w:t xml:space="preserve"> Matched signed-target counts, which equal the frozen ULM family (STAT1: 98, 129 and 161; STAT2: 14, 19 and 20).</w:t>
      </w:r>
    </w:p>
    <w:p>
      <w:pPr>
        <w:jc w:val="center"/>
      </w:pPr>
      <w:r>
        <w:drawing>
          <wp:inline xmlns:a="http://schemas.openxmlformats.org/drawingml/2006/main" xmlns:pic="http://schemas.openxmlformats.org/drawingml/2006/picture">
            <wp:extent cx="5806440" cy="4299513"/>
            <wp:docPr id="9" name="Picture 9" title="Supplementary Figure S9" descr="Supplementary Figure S9; full panel description appears immediately above the figure."/>
            <wp:cNvGraphicFramePr>
              <a:graphicFrameLocks noChangeAspect="1"/>
            </wp:cNvGraphicFramePr>
            <a:graphic>
              <a:graphicData uri="http://schemas.openxmlformats.org/drawingml/2006/picture">
                <pic:pic>
                  <pic:nvPicPr>
                    <pic:cNvPr id="0" name="Supplementary_Figure_S9_regulator_correlation_sensitivity.png"/>
                    <pic:cNvPicPr/>
                  </pic:nvPicPr>
                  <pic:blipFill>
                    <a:blip r:embed="rId21"/>
                    <a:stretch>
                      <a:fillRect/>
                    </a:stretch>
                  </pic:blipFill>
                  <pic:spPr>
                    <a:xfrm>
                      <a:off x="0" y="0"/>
                      <a:ext cx="5806440" cy="42995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S10 | STAT1/STAT2 IFN-overlap-depletion sensitivity</w:t>
      </w:r>
    </w:p>
    <w:p>
      <w:pPr>
        <w:widowControl/>
      </w:pPr>
      <w:r>
        <w:rPr>
          <w:rFonts w:ascii="Times New Roman" w:hAnsi="Times New Roman" w:eastAsia="Times New Roman"/>
          <w:b/>
          <w:color w:val="1F1F1F"/>
          <w:sz w:val="21"/>
        </w:rPr>
        <w:t>a,</w:t>
      </w:r>
      <w:r>
        <w:rPr>
          <w:rFonts w:ascii="Times New Roman" w:hAnsi="Times New Roman" w:eastAsia="Times New Roman"/>
          <w:color w:val="1F1F1F"/>
          <w:sz w:val="21"/>
        </w:rPr>
        <w:t xml:space="preserve"> ULM slopes and 95% confidence intervals after removal of the prespecified 12-gene IFN/ISG positive arm. </w:t>
      </w:r>
      <w:r>
        <w:rPr>
          <w:rFonts w:ascii="Times New Roman" w:hAnsi="Times New Roman" w:eastAsia="Times New Roman"/>
          <w:b/>
          <w:color w:val="1F1F1F"/>
          <w:sz w:val="21"/>
        </w:rPr>
        <w:t>b,</w:t>
      </w:r>
      <w:r>
        <w:rPr>
          <w:rFonts w:ascii="Times New Roman" w:hAnsi="Times New Roman" w:eastAsia="Times New Roman"/>
          <w:color w:val="1F1F1F"/>
          <w:sz w:val="21"/>
        </w:rPr>
        <w:t xml:space="preserve"> Corresponding estimates after removal of all 97 M5911 genes; discovery STAT2 retains eight targets and its interval crosses zero. Labels report remaining matched targets. </w:t>
      </w:r>
      <w:r>
        <w:rPr>
          <w:rFonts w:ascii="Times New Roman" w:hAnsi="Times New Roman" w:eastAsia="Times New Roman"/>
          <w:b/>
          <w:color w:val="1F1F1F"/>
          <w:sz w:val="21"/>
        </w:rPr>
        <w:t>c,</w:t>
      </w:r>
      <w:r>
        <w:rPr>
          <w:rFonts w:ascii="Times New Roman" w:hAnsi="Times New Roman" w:eastAsia="Times New Roman"/>
          <w:color w:val="1F1F1F"/>
          <w:sz w:val="21"/>
        </w:rPr>
        <w:t xml:space="preserve"> Exact branch- and method-specific Benjamini-Hochberg q values across the six regulator-by-contrast tests. </w:t>
      </w:r>
      <w:r>
        <w:rPr>
          <w:rFonts w:ascii="Times New Roman" w:hAnsi="Times New Roman" w:eastAsia="Times New Roman"/>
          <w:b/>
          <w:color w:val="1F1F1F"/>
          <w:sz w:val="21"/>
        </w:rPr>
        <w:t>d,</w:t>
      </w:r>
      <w:r>
        <w:rPr>
          <w:rFonts w:ascii="Times New Roman" w:hAnsi="Times New Roman" w:eastAsia="Times New Roman"/>
          <w:color w:val="1F1F1F"/>
          <w:sz w:val="21"/>
        </w:rPr>
        <w:t xml:space="preserve"> Percentage of matched targets retained after each depletion. All method-level directions remain positive, but M5911 depletion produces substantial attenuation and does not support an overlap-independent interpretation.</w:t>
      </w:r>
    </w:p>
    <w:p>
      <w:pPr>
        <w:jc w:val="center"/>
      </w:pPr>
      <w:r>
        <w:drawing>
          <wp:inline xmlns:a="http://schemas.openxmlformats.org/drawingml/2006/main" xmlns:pic="http://schemas.openxmlformats.org/drawingml/2006/picture">
            <wp:extent cx="5806440" cy="5294490"/>
            <wp:docPr id="10" name="Picture 10" title="Supplementary Figure S10" descr="Supplementary Figure S10; full panel description appears immediately above the figure."/>
            <wp:cNvGraphicFramePr>
              <a:graphicFrameLocks noChangeAspect="1"/>
            </wp:cNvGraphicFramePr>
            <a:graphic>
              <a:graphicData uri="http://schemas.openxmlformats.org/drawingml/2006/picture">
                <pic:pic>
                  <pic:nvPicPr>
                    <pic:cNvPr id="0" name="Supplementary_Figure_S10_overlap_depletion.png"/>
                    <pic:cNvPicPr/>
                  </pic:nvPicPr>
                  <pic:blipFill>
                    <a:blip r:embed="rId22"/>
                    <a:stretch>
                      <a:fillRect/>
                    </a:stretch>
                  </pic:blipFill>
                  <pic:spPr>
                    <a:xfrm>
                      <a:off x="0" y="0"/>
                      <a:ext cx="5806440" cy="5294490"/>
                    </a:xfrm>
                    <a:prstGeom prst="rect"/>
                  </pic:spPr>
                </pic:pic>
              </a:graphicData>
            </a:graphic>
          </wp:inline>
        </w:drawing>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Supplementary information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Rule="auto" w:line="276"/>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QiTeng reader-language micro-gate</dc:subject>
  <dc:creator>Zhi Chen; Teng Qi</dc:creator>
  <cp:keywords>SLE; B cells; single-cell RNA sequencing; interferon</cp:keywords>
  <dc:description>Reader-facing terminology synchronized without changing scientific data, tests or figures.</dc:description>
  <cp:lastModifiedBy/>
  <cp:revision>1</cp:revision>
  <dcterms:created xsi:type="dcterms:W3CDTF">2013-12-23T23:15:00Z</dcterms:created>
  <dcterms:modified xsi:type="dcterms:W3CDTF">2013-12-23T23:15:00Z</dcterms:modified>
  <cp:category/>
</cp:coreProperties>
</file>