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color w:val="1F1F1F"/>
          <w:sz w:val="32"/>
        </w:rPr>
        <w:t>Supplementary information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Disease-blind reconstruction distinguishes reproducible interferon remodeling from less stable B-cell state assignments in systemic lupus erythematosus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Authors:</w:t>
      </w:r>
      <w:r>
        <w:rPr>
          <w:rFonts w:ascii="Times New Roman" w:hAnsi="Times New Roman" w:eastAsia="Times New Roman"/>
          <w:color w:val="1F1F1F"/>
          <w:sz w:val="21"/>
        </w:rPr>
        <w:t xml:space="preserve"> Zhi Chen and Teng Qi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overview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This single Supplementary Information file contains Tables S1-S9 and Figures S1-S10 supporting the main Article. All analytical methods required to interpret the work are reported in the main manuscript. Machine-readable figure source data, regulator sensitivity results and complete statistical outputs are supplied separately as Supplementary Data 1-3. Original external-mapping sensitivity outcomes are superseded, and no corrected disease effect was estimated after calibration failed.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S1 | Dataset roles and inferential units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1700"/>
        <w:gridCol w:w="2100"/>
        <w:gridCol w:w="3960"/>
      </w:tblGrid>
      <w:tr>
        <w:trPr>
          <w:cantSplit/>
          <w:tblHeader w:val="true"/>
        </w:trPr>
        <w:tc>
          <w:tcPr>
            <w:tcW w:type="dxa" w:w="16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Resource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Role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Biological unit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Active scope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and internal replication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Sample-cohort stratum; donor sensitivities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B_CONV/B_ASC analysis scaffold, composition and B_CONV transcription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GSE135779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Independent SLE replication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Donor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Broad conventional-B analogue; childhood primary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CollecTRI/OmniPath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Curated regulator prior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Ranked genes within contrast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Prespecified eight-regulator, three-contrast family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MSigDB M5911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Orthogonal response prior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Ranked genes within contrast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Hallmark interferon-alpha response enrichment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GSE23307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Orthogonal perturbation support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Paired profile within donor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Descriptive IFN-beta response, n=2 donors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S2 | Claim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Supported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Not supported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B_CONV/B_ASC analysis scaffold with quantified boundary sensitivity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Universally reproducible B_CONV/B_ASC taxonomy or stable hard naive, memory or atypical subtypes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contrast lacks statistical support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General B_ASC expansion in SLE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Replicated IFN/ISG remodeling within B_CONV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Genome-wide shared disease transcriptome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 STAT1/STAT2 activity concordant across three contrasts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Causal TF activation or direct binding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IFN-centred response evidence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 unique initiating IFN ligand in SLE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S3 | Quantitative anchors and prespecified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570"/>
        <w:gridCol w:w="5790"/>
      </w:tblGrid>
      <w:tr>
        <w:trPr>
          <w:cantSplit/>
          <w:tblHeader w:val="true"/>
        </w:trPr>
        <w:tc>
          <w:tcPr>
            <w:tcW w:type="dxa" w:w="357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Analysis</w:t>
            </w:r>
          </w:p>
        </w:tc>
        <w:tc>
          <w:tcPr>
            <w:tcW w:type="dxa" w:w="579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Result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Frozen-representation identity policy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minimum mapped ARI 0.990; minimum agreement 0.9998; minimum state-median Jaccard 0.991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sensitivity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prespecified criterion not met; minimum mapped ARI 0.930; minimum agreement 0.9988; B_ASC median Jaccard 0.930 below 0.95 criterion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Boundary propagation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odds-ratio range 0.896-0.967, all intervals include one; primary B_CONV IFN/ISG range 0.836-0.845, all intervals above zero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composition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43 controls and 47 source-defined managed SLE; odds ratio 0.947; 95% CI 0.636-1.410; P=0.787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 primary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0.837; 95% CI 0.525-1.148; q=2.98 x 10^-6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 donor-nonoverlap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1.086; q=3.61 x 10^-4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GSE135779 childhood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1.042; 95% CI 0.681-1.402; q=2.98 x 10^-6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Cross-dataset genome-wide agreement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4,410 genes; Spearman rho=0.026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 enrichment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NES 3.187, 3.050 and 3.527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GSE23307 perturbation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donor effects 3.294 and 3.666; 12/12 genes positive in each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S4 | Correlation-aware core-regulator sensitivity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1100"/>
        <w:gridCol w:w="1350"/>
        <w:gridCol w:w="2100"/>
        <w:gridCol w:w="1250"/>
        <w:gridCol w:w="1160"/>
      </w:tblGrid>
      <w:tr>
        <w:trPr>
          <w:cantSplit/>
          <w:tblHeader w:val="true"/>
        </w:trPr>
        <w:tc>
          <w:tcPr>
            <w:tcW w:type="dxa" w:w="2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Contrast</w:t>
            </w:r>
          </w:p>
        </w:tc>
        <w:tc>
          <w:tcPr>
            <w:tcW w:type="dxa" w:w="1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Regulator</w:t>
            </w:r>
          </w:p>
        </w:tc>
        <w:tc>
          <w:tcPr>
            <w:tcW w:type="dxa" w:w="13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Matched targets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Inter-gene correlation</w:t>
            </w:r>
          </w:p>
        </w:tc>
        <w:tc>
          <w:tcPr>
            <w:tcW w:type="dxa" w:w="12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CAMERA BH q</w:t>
            </w:r>
          </w:p>
        </w:tc>
        <w:tc>
          <w:tcPr>
            <w:tcW w:type="dxa" w:w="11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FRY BH q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primary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98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0.0362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6.043e-06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primary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14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0.1225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0.1355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4.909e-05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donor-nonoverlap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129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0.0209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8.49e-06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donor-nonoverlap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19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0.1191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4.277e-07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GSE135779 childhood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161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0.0301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2.685e-05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GSE135779 childhood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20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0.1223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0.03026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1.231e-05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CAMERA and FRY directions were positive in all six tests. CAMERA passed BH correction in five of six; the explicit exception was GSE174188 primary STAT2 (q=0.1355). FRY passed BH correction in all six.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S4B | IFN-overlap-depletion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00"/>
        <w:gridCol w:w="1300"/>
        <w:gridCol w:w="1200"/>
        <w:gridCol w:w="1400"/>
        <w:gridCol w:w="3460"/>
      </w:tblGrid>
      <w:tr>
        <w:trPr>
          <w:cantSplit/>
          <w:tblHeader w:val="true"/>
        </w:trPr>
        <w:tc>
          <w:tcPr>
            <w:tcW w:type="dxa" w:w="20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Depletion</w:t>
            </w:r>
          </w:p>
        </w:tc>
        <w:tc>
          <w:tcPr>
            <w:tcW w:type="dxa" w:w="13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Method</w:t>
            </w:r>
          </w:p>
        </w:tc>
        <w:tc>
          <w:tcPr>
            <w:tcW w:type="dxa" w:w="12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Positive direction</w:t>
            </w:r>
          </w:p>
        </w:tc>
        <w:tc>
          <w:tcPr>
            <w:tcW w:type="dxa" w:w="1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Dedicated q&lt;0.05</w:t>
            </w:r>
          </w:p>
        </w:tc>
        <w:tc>
          <w:tcPr>
            <w:tcW w:type="dxa" w:w="34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Main qualification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Minimum slope retention 53.5%; all 95% confidence intervals above zero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CAMERA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q=0.326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Direction and corrected support retained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retained 8/14 targets; slope 0.391, 95% CI -0.745 to 1.526; q=0.500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CAMERA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2/6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Broad attenuation across contrasts; discovery STAT2 q=0.623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q=0.099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All 11 depleted ULM models retaining at least ten targets preserved direction in every leave-one-target analysis. These sensitivities support robustness beyond the narrow 12-gene arm but not independence from the broader interferon-response transcriptome.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S5 | Selected figure source-data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12"/>
        <w:gridCol w:w="4529"/>
        <w:gridCol w:w="3019"/>
      </w:tblGrid>
      <w:tr>
        <w:trPr>
          <w:cantSplit/>
          <w:tblHeader w:val="true"/>
        </w:trPr>
        <w:tc>
          <w:tcPr>
            <w:tcW w:type="dxa" w:w="1812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Figure</w:t>
            </w:r>
          </w:p>
        </w:tc>
        <w:tc>
          <w:tcPr>
            <w:tcW w:type="dxa" w:w="452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Evidence basis</w:t>
            </w:r>
          </w:p>
        </w:tc>
        <w:tc>
          <w:tcPr>
            <w:tcW w:type="dxa" w:w="301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Machine-readable source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1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identity stability and two-compartment adjudication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Figure1_source_data.csv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2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Sample-level composition and asserted 43/47 primary groups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Figure2_source_data.csv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3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Raw-count pseudobulk transcription with explicit tested-gene symbols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Figure3_source_data.csv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4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Source-label-defined GSE135779 replication and influence analyses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Figure4_source_data.csv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5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Regulatory and orthogonal response evidence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Figure5_source_data.csv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S8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STAT1/STAT2 IFN-overlap-depletion sensitivity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Supplementary_Figure_S8_source_data.csv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S9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boundary and downstream propagation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Supplementary_Figure_S9_source_data.csv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S10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reference calibration and unresolved external transfer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Supplementary_Figure_S10_source_data.csv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S6 | Reproducibility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960"/>
        <w:gridCol w:w="5400"/>
      </w:tblGrid>
      <w:tr>
        <w:trPr>
          <w:cantSplit/>
          <w:tblHeader w:val="true"/>
        </w:trPr>
        <w:tc>
          <w:tcPr>
            <w:tcW w:type="dxa" w:w="39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Component</w:t>
            </w:r>
          </w:p>
        </w:tc>
        <w:tc>
          <w:tcPr>
            <w:tcW w:type="dxa" w:w="5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Reader-accessible record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Main and supplementary figure data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1 with SHA-256 manifest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statistical results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3 with 12 gene-level branches and 12 sanitized design matrices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Correlation-aware sensitivity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2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and boundary propagation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 xml:space="preserve">Supplementary Data 3, </w:t>
            </w:r>
            <w:r>
              <w:rPr>
                <w:rFonts w:ascii="Courier New" w:hAnsi="Courier New" w:eastAsia="Courier New"/>
                <w:color w:val="1F1F1F"/>
                <w:sz w:val="18"/>
              </w:rPr>
              <w:t>identity_robustness/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Analysis code and decisions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1F1F1F"/>
                <w:sz w:val="18"/>
              </w:rPr>
              <w:t>https://github.com/1209433622cz-maker/sle-bcell-remodeling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Environment reconstruction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 xml:space="preserve">Pinned scientific and release environments documented in </w:t>
            </w:r>
            <w:r>
              <w:rPr>
                <w:rFonts w:ascii="Courier New" w:hAnsi="Courier New" w:eastAsia="Courier New"/>
                <w:color w:val="1F1F1F"/>
                <w:sz w:val="18"/>
              </w:rPr>
              <w:t>REPRODUCIBILITY.md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Version-specific archive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Zenodo https://doi.org/10.5281/zenodo.22151739; version-specific archive of the released analysis code, Source Data and statistical outputs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S7 | Statistical tests and multiplicity families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191"/>
        <w:gridCol w:w="2042"/>
        <w:gridCol w:w="1804"/>
        <w:gridCol w:w="1498"/>
        <w:gridCol w:w="1668"/>
        <w:gridCol w:w="1157"/>
      </w:tblGrid>
      <w:tr>
        <w:trPr>
          <w:cantSplit/>
          <w:tblHeader w:val="true"/>
        </w:trPr>
        <w:tc>
          <w:tcPr>
            <w:tcW w:type="dxa" w:w="1191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Result family</w:t>
            </w:r>
          </w:p>
        </w:tc>
        <w:tc>
          <w:tcPr>
            <w:tcW w:type="dxa" w:w="2042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Biological unit</w:t>
            </w:r>
          </w:p>
        </w:tc>
        <w:tc>
          <w:tcPr>
            <w:tcW w:type="dxa" w:w="1804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Test or estimator</w:t>
            </w:r>
          </w:p>
        </w:tc>
        <w:tc>
          <w:tcPr>
            <w:tcW w:type="dxa" w:w="1498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Sidedness</w:t>
            </w:r>
          </w:p>
        </w:tc>
        <w:tc>
          <w:tcPr>
            <w:tcW w:type="dxa" w:w="1668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Multiplicity</w:t>
            </w:r>
          </w:p>
        </w:tc>
        <w:tc>
          <w:tcPr>
            <w:tcW w:type="dxa" w:w="115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Role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B_ASC composition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stratum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Beta-binomial Wald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across three frozen base contrasts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Primary composition inference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Gene-level expression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pseudobulk (GSE174188); donor pseudobulk (GSE135779)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edgeR robust quasi-likelihood F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within tested genes per contrast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Gene-level inference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Four frozen programs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pseudobulk (GSE174188); donor pseudobulk (GSE135779)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OLS with HC3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across four programs per analysis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Program inference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TF-target activity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Signed-target slope t test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Global BH across 24 tests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Confirmatory regulatory evidence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STAT1/STAT2 sensitivity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CAMERA and FRY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Positive-direction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Separate BH families of six per method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Correlation-aware sensitivity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STAT1/STAT2 overlap depletion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 and pseudobulk counts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ULM, CAMERA and FRY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 ULM; positive-direction CAMERA/FRY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Separate BH family of six per branch and method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Post-freeze sensitivity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End-to-end identity reproducibility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Cell resample within technical library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ARI, AMI, mapping agreement, state Jaccard and recall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Not tested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Five unchanged threshold criteria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Disease-blind robustness boundary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Broad-state boundary propagation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stratum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Frozen beta-binomial and TMM logCPM/HC3 models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 intervals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 new multiplicity family; same-data sensitivity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Assignment-uncertainty sensitivity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M5911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10,000-permutation preranked test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Positive-direction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Descriptive BH across three contrasts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Orthogonal support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GSE23307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Paired donor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Mean paired log2(x+1) effect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Not tested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None; n=2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Descriptive perturbation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S8 | Full statistical-results archive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350"/>
        <w:gridCol w:w="4900"/>
        <w:gridCol w:w="1110"/>
      </w:tblGrid>
      <w:tr>
        <w:trPr>
          <w:cantSplit/>
          <w:tblHeader w:val="true"/>
        </w:trPr>
        <w:tc>
          <w:tcPr>
            <w:tcW w:type="dxa" w:w="33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Directory</w:t>
            </w:r>
          </w:p>
        </w:tc>
        <w:tc>
          <w:tcPr>
            <w:tcW w:type="dxa" w:w="49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Contents</w:t>
            </w:r>
          </w:p>
        </w:tc>
        <w:tc>
          <w:tcPr>
            <w:tcW w:type="dxa" w:w="111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Files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gene_level_results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filterByExpr gene results for GSE174188 and GSE135779 branches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sanitized_design_matrices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Direct-identifier-free analysis designs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composition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coefficients, contrasts, predictions, sensitivities, leave-one-out and diagnostics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transcription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Program, ranked-list, influence and concordance results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regulatory_and_orthogonal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ULM, target influence, CAMERA/FRY, M5911 and GSE23307 summaries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statistical_framework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Machine-readable test and multiplicity map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identity_robustness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Aggregate and replicate-level end-to-end identity metrics, boundary propagation results and integrity records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101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external_mapping_calibration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feature and parameter tables, full confidence-calibration family, aggregate selection diagnostics, provenance, arithmetic recount and publication boundary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20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S9 | Reference-calibrated external mapping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06"/>
        <w:gridCol w:w="3577"/>
        <w:gridCol w:w="3577"/>
      </w:tblGrid>
      <w:tr>
        <w:trPr>
          <w:cantSplit/>
          <w:tblHeader w:val="true"/>
        </w:trPr>
        <w:tc>
          <w:tcPr>
            <w:tcW w:type="dxa" w:w="2206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Component</w:t>
            </w:r>
          </w:p>
        </w:tc>
        <w:tc>
          <w:tcPr>
            <w:tcW w:type="dxa" w:w="357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Corrected diagnostic</w:t>
            </w:r>
          </w:p>
        </w:tc>
        <w:tc>
          <w:tcPr>
            <w:tcW w:type="dxa" w:w="357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Interpretation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 input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56 matrices; 363,083 cells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source matrix coverage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 QC and selection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353,527 QC-passing cells; 36,630 B-lineage candidates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source labels or disease fields parsed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Reference training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13,000 B_CONV and 1,300 B_ASC; 258 donors; 601 features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Both algorithms share reference and features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Normalization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Full-library log1p(CP10K) before feature subsetting in both datasets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Corrects reference feature-only denominator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Elastic-net calibration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Diagnostic threshold 0.95; coverage 0.941958; B_CONV precision 0.996450; B_ASC precision 0.885210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eligible candidate: state precision must be at least 0.90 and coverage at least 0.80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Centroid calibration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Margin 0.117767; coverage 0.95; B_CONV precision 0.992374; B_ASC precision 1.0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Eligible, but cannot replace required primary mapper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Mean reference-fold balanced accuracy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Elastic net 0.960569; centroid 0.950293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Calibration diagnostics; not independent performance estimates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Outcome policy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disease outcomes not estimated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corrected effect, confidence interval, P or q value exists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Prior outcome exposure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Original sensitivity outcomes were known before correction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Post-outcome correction; not prospective validation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Evidence boundary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GSE135779 replication remains source-label-defined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Superseded uncorrected outcomes excluded from supporting evidence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Full candidate calibration, donor-grouped cross-validation, reference normalization audit and corrected input/prediction hashes are retained with the analysis code. The original source-label-defined pseudobulk effect is a standardized HC3 model estimate; the unexecuted sensitivity would instead compare donor mean cell-level log1p(CP10K) scores. They are different estimands and must not be compared as effect attenuation. No new multiplicity family was evaluated after corrected calibration failed.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S1 | Source integrity and hard-quality-control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Hard-QC failure fractions by processing cohort and disease group.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Residual-risk call fraction versus cells per library, coloured by the library median score.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Percent and exact number of retained risk-negative cells and sensitivity-only residual-risk calls among 150,402 hard-QC B-lineage cells.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Median, 95th-percentile and threshold residual-risk scores for all 88 libraries.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17081"/>
            <wp:docPr id="1" name="Picture 1" title="Supplementary Figure S1" descr="Supplementary Figure S1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_source_integrity_q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17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S2 | Representation and bridge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Same-group neighbourhood concentration before and after Harmony adjustment.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Cross-cohort bridge-pair cosine-distance distributions.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Disease-blind branch concordance across Leiden resolutions for residual-risk-negative and strong-ISG-excluded branches; the vertical guide marks the primary resolution.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Biological marker-module localization across the five fine clusters considered before stability adjudication.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2" name="Picture 2" title="Supplementary Figure S2" descr="Supplementary Figure S2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2_representation_diagnos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S3 | Fine-state failure and transition structure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minimum cluster Jaccard values localize instability to fine-state membership across the five-, four- and three-state policies considered before broad adjudication.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Mean transition matrix from original resolution-0.4 clusters to mapped reference clusters across frozen-representation resamples. These diagnostics explain the transition to the broad B_CONV/B_ASC analysis scaffold; broad-state pass criteria are shown in Fig. 1 and end-to-end reconstruction is shown in Supplementary Fig. S9. Highly variable genes, principal components and Harmony coordinates were not recomputed in this figure.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37205"/>
            <wp:docPr id="3" name="Picture 3" title="Supplementary Figure S3" descr="Supplementary Figure S3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3_fine_state_failure_transition_stru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37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S4 | Composition-model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Total and zero-ASC sample-cohort strata in the three base contrasts.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Primary B_ASC odds ratios under support, explicit non-B and residual-risk policies using observed-information and HC1 covariance.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Firth-logistic ASC-presence sensitivity.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Positive-only abundance sensitivity using HC3 uncertainty. Panels c-d use logarithmic ratio axes with the null fixed at one; the two-part models are sensitivity analyses and do not replace the frozen beta-binomial primary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4" name="Picture 4" title="Supplementary Figure S4" descr="Supplementary Figure S4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4_composition_diagnost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S5 | Pseudobulk and ranked-list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Numbers of filterByExpr-tested and BH-significant genes across seven GSE174188 branches.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Common and median tagwise edgeR dispersions.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Mitochondrial, ribosomal, haemoglobin and immunoglobulin fractions among increasingly long primary ranked lists. IFN/ISG estimates across the frozen GSE174188 branches are owned by Fig. 3b and are not repeated here.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51835"/>
            <wp:docPr id="5" name="Picture 5" title="Supplementary Figure S5" descr="Supplementary Figure S5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5_pseudobulk_ranked_list_diagnost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S6 | GSE135779 replication and robustness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Control and SLE donor counts across the five GSE135779 models.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Four-program childhood estimates.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Childhood IFN/ISG estimates after omission of each source B-cell label.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Full childhood program effects and ranges across donor-deletion analyses.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381946"/>
            <wp:docPr id="6" name="Picture 6" title="Supplementary Figure S6" descr="Supplementary Figure S6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6_replication_robustness_diagnost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8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S7 | Correlation-aware regulator sensitivity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CAMERA and FRY six-test BH concordance for STAT1 and STAT2. Dashed guides indicate q=0.05.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CAMERA residual-estimated inter-gene correlations.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Exact CAMERA and FRY BH q values.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Matched signed-target counts, which equal the frozen ULM family (STAT1: 98, 129 and 161; STAT2: 14, 19 and 20).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7" name="Picture 7" title="Supplementary Figure S7" descr="Supplementary Figure S7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7_regulator_correlation_sensitiv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S8 | STAT1/STAT2 IFN-overlap-depletion sensitivity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ULM slopes and 95% confidence intervals after removal of the frozen 12-gene IFN/ISG positive arm.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Corresponding estimates after removal of all 97 M5911 genes; discovery STAT2 retains eight targets and its interval crosses zero. Labels report remaining matched targets.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Exact branch- and method-specific Benjamini-Hochberg q values across the six regulator-by-contrast tests.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Percentage of frozen matched targets retained after each depletion. All method-level directions remain positive, but M5911 depletion produces substantial attenuation and does not support an overlap-independent interpretation.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294490"/>
            <wp:docPr id="8" name="Picture 8" title="Supplementary Figure S8" descr="Supplementary Figure S8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8_overlap_deple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94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S9 | End-to-end reconstruction exposes a B_ASC-specific boundary without changing the disease conclusions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Observed values and prespecified criteria for five end-to-end two-compartment checks; four met their criteria and minimum state-median Jaccard did not.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State Jaccard across 20 complete reconstruction replicates localizes the unmet overlap criterion to B_ASC, while B_CONV remains above 0.95.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Counts of sampled cells exchanged across the B_CONV/B_ASC boundary.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Primary B_ASC composition odds ratios and 95% confidence intervals after each observed boundary exchange; the dashed guide marks one and the orange line marks the frozen estimate. </w:t>
      </w:r>
      <w:r>
        <w:rPr>
          <w:rFonts w:ascii="Times New Roman" w:hAnsi="Times New Roman" w:eastAsia="Times New Roman"/>
          <w:b/>
          <w:color w:val="1F1F1F"/>
          <w:sz w:val="21"/>
        </w:rPr>
        <w:t>e,</w:t>
      </w:r>
      <w:r>
        <w:rPr>
          <w:rFonts w:ascii="Times New Roman" w:hAnsi="Times New Roman" w:eastAsia="Times New Roman"/>
          <w:color w:val="1F1F1F"/>
          <w:sz w:val="21"/>
        </w:rPr>
        <w:t xml:space="preserve"> Primary and donor-nonoverlap B_CONV IFN/ISG effects after boundary-cell raw counts were propagated through frozen TMM logCPM and HC3 models; dotted lines mark the frozen effects. All propagation analyses reuse GSE174188 and quantify assignment sensitivity rather than independent replication.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465140"/>
            <wp:docPr id="9" name="Picture 9" title="Supplementary Figure S9" descr="Supplementary Figure S9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9_identity_boundary_and_propag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65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S10 | Reference calibration limits source-label-independent external transfer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interquartile range of full-library divided by selected-feature counts among 13,000 B_CONV and 1,300 B_ASC reference training cells. This ratio quantifies the legacy pre-log scaling discrepancy; corrected mapping uses full-library denominators in both datasets.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Per-state precision at the diagnostic elastic-net and eligible centroid thresholds. Mapper colour is held constant across panels b-d, marker shape distinguishes B_CONV from B_ASC, and the dashed line is the unchanged 0.90 state-precision criterion.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Reference-cell coverage at those thresholds; the dashed line is the unchanged 0.80 criterion.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Balanced accuracy in each of five donor-grouped reference calibration folds; black horizontal bars show fold means. No eligibility guide is drawn because balanced accuracy is diagnostic only. These folds select model and threshold parameters, not independent performance estimates. The elastic-net B_ASC precision failure prevents outcome access; centroid success is not a replacement analysis. No corrected external disease result is shown.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93"/>
            <wp:docPr id="10" name="Picture 10" title="Supplementary Figure S10" descr="Supplementary Figure S10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0_reference_calibration_bounda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Times New Roman" w:hAnsi="Times New Roman" w:eastAsia="Times New Roman"/>
        <w:color w:val="595959"/>
        <w:sz w:val="18"/>
      </w:rPr>
      <w:t>Supplementary information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Times New Roman" w:hAnsi="Times New Roman" w:eastAsia="Times New Roman"/>
        <w:color w:val="595959"/>
        <w:sz w:val="18"/>
      </w:rPr>
      <w:t>Supplementary information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Times New Roman" w:hAnsi="Times New Roman" w:eastAsia="Times New Roman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F1F1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pPr>
      <w:spacing w:after="60" w:lineRule="auto" w:line="276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</dc:title>
  <dc:subject>S4b title-only source redraw and semantic scientific stop gate</dc:subject>
  <dc:creator>Zhi Chen; Teng Qi</dc:creator>
  <cp:keywords>SLE; B cells; single-cell RNA sequencing; interferon</cp:keywords>
  <dc:description>Scientific stop gate; canonical sources synchronized and S4b redrawn from frozen Source Data; removed 1 redundant table spacers before manual page breaks.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