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Cover letter</w:t>
      </w:r>
    </w:p>
    <w:p>
      <w:pPr>
        <w:widowControl/>
      </w:pPr>
      <w:r>
        <w:rPr>
          <w:rFonts w:ascii="Times New Roman" w:hAnsi="Times New Roman" w:eastAsia="Times New Roman"/>
          <w:color w:val="1F1F1F"/>
          <w:sz w:val="20"/>
        </w:rPr>
        <w:t>25 August 2026</w:t>
      </w:r>
    </w:p>
    <w:p>
      <w:pPr>
        <w:widowControl/>
      </w:pPr>
      <w:r>
        <w:rPr>
          <w:rFonts w:ascii="Times New Roman" w:hAnsi="Times New Roman" w:eastAsia="Times New Roman"/>
          <w:color w:val="1F1F1F"/>
          <w:sz w:val="20"/>
        </w:rPr>
        <w:t>Teng Qi</w:t>
      </w:r>
    </w:p>
    <w:p>
      <w:pPr>
        <w:widowControl/>
      </w:pPr>
      <w:r>
        <w:rPr>
          <w:rFonts w:ascii="Times New Roman" w:hAnsi="Times New Roman" w:eastAsia="Times New Roman"/>
          <w:color w:val="1F1F1F"/>
          <w:sz w:val="20"/>
        </w:rPr>
        <w:t>School of Medicine, The Chinese University of Hong Kong, Shenzhen</w:t>
      </w:r>
    </w:p>
    <w:p>
      <w:pPr>
        <w:widowControl/>
      </w:pPr>
      <w:r>
        <w:rPr>
          <w:rFonts w:ascii="Times New Roman" w:hAnsi="Times New Roman" w:eastAsia="Times New Roman"/>
          <w:color w:val="1F1F1F"/>
          <w:sz w:val="20"/>
        </w:rPr>
        <w:t>MED Start-up Building, 2001 Longxiang Boulevard, Longgang District, Shenzhen 518172, China</w:t>
      </w:r>
    </w:p>
    <w:p>
      <w:pPr>
        <w:widowControl/>
      </w:pPr>
      <w:r>
        <w:rPr>
          <w:rFonts w:ascii="Times New Roman" w:hAnsi="Times New Roman" w:eastAsia="Times New Roman"/>
          <w:color w:val="1F1F1F"/>
          <w:sz w:val="20"/>
        </w:rPr>
        <w:t>Email: tengqi@link.cuhk.edu.cn</w:t>
      </w:r>
    </w:p>
    <w:p>
      <w:pPr>
        <w:widowControl/>
      </w:pPr>
      <w:r>
        <w:rPr>
          <w:rFonts w:ascii="Times New Roman" w:hAnsi="Times New Roman" w:eastAsia="Times New Roman"/>
          <w:color w:val="1F1F1F"/>
          <w:sz w:val="20"/>
        </w:rPr>
        <w:t>Editors, Genome Medicine</w:t>
      </w:r>
    </w:p>
    <w:p>
      <w:pPr>
        <w:widowControl/>
      </w:pPr>
      <w:r>
        <w:rPr>
          <w:rFonts w:ascii="Times New Roman" w:hAnsi="Times New Roman" w:eastAsia="Times New Roman"/>
          <w:color w:val="1F1F1F"/>
          <w:sz w:val="20"/>
        </w:rPr>
        <w:t>Dear Editors,</w:t>
      </w:r>
    </w:p>
    <w:p>
      <w:pPr>
        <w:widowControl/>
      </w:pPr>
      <w:r>
        <w:rPr>
          <w:rFonts w:ascii="Times New Roman" w:hAnsi="Times New Roman" w:eastAsia="Times New Roman"/>
          <w:color w:val="1F1F1F"/>
          <w:sz w:val="20"/>
        </w:rPr>
        <w:t>Please consider our Research article, "Disease-blind single-cell reconstruction separates unstable B-cell state assignments from reproducible interferon remodeling in systemic lupus erythematosus", for publication in Genome Medicine.</w:t>
      </w:r>
    </w:p>
    <w:p>
      <w:pPr>
        <w:widowControl/>
      </w:pPr>
      <w:r>
        <w:rPr>
          <w:rFonts w:ascii="Times New Roman" w:hAnsi="Times New Roman" w:eastAsia="Times New Roman"/>
          <w:color w:val="1F1F1F"/>
          <w:sz w:val="20"/>
        </w:rPr>
        <w:t>This study addresses a recurrent problem in disease single-cell genomics: cell identity, relative abundance and within-compartment transcription can be conflated when annotations are informed by outcomes or cells are treated as independent replicates. We reconstructed B-lineage identity without disease labels, retained biological samples or donors as inferential units and carried a frozen transcriptional result into an independent SLE dataset.</w:t>
      </w:r>
    </w:p>
    <w:p>
      <w:pPr>
        <w:widowControl/>
      </w:pPr>
      <w:r>
        <w:rPr>
          <w:rFonts w:ascii="Times New Roman" w:hAnsi="Times New Roman" w:eastAsia="Times New Roman"/>
          <w:color w:val="1F1F1F"/>
          <w:sz w:val="20"/>
        </w:rPr>
        <w:t>The principal advance is not rediscovery of interferon involvement in SLE, but a deliberately bounded identification of the remodeling layer that survives sequential safeguards. Fine naive-memory partitions were not stable enough for hard outcome inference. End-to-end reconstruction retained high global two-compartment concordance but missed the unchanged B_ASC state-overlap criterion, so B_CONV/B_ASC is presented as an analysis scaffold rather than a universally reproducible taxonomy. Propagating every observed broad-state boundary exchange preserved the primary antibody-secreting-cell composition null and both internal B_CONV IFN/ISG effects. The interferon-responsive program reproduced in GSE174188 discovery, a donor-nonoverlap internal contrast and independent GSE135779 childhood donors. STAT1 and STAT2 target activities were positive and globally significant under the prespecified ULM family; correlation-aware CAMERA supported five of six core tests after correction and FRY supported six of six, with the discovery STAT2 CAMERA exception reported explicitly. Post-freeze depletion of either the frozen 12-gene arm or the broader M5911 set preserved every method-level direction, while transparently exposing substantial attenuation of the low-coverage discovery STAT2 model after broad depletion. Orthogonal enrichment of the independently curated M5911 response set and paired IFN-beta perturbation profiles supplied complementary response evidence. We do not claim a discrete IFN-high subtype, universal plasmablast expansion, causal regulator, direct TF binding or unique upstream ligand.</w:t>
      </w:r>
    </w:p>
    <w:p>
      <w:pPr>
        <w:widowControl/>
      </w:pPr>
      <w:r>
        <w:rPr>
          <w:rFonts w:ascii="Times New Roman" w:hAnsi="Times New Roman" w:eastAsia="Times New Roman"/>
          <w:color w:val="1F1F1F"/>
          <w:sz w:val="20"/>
        </w:rPr>
        <w:t>We believe the work fits Genome Medicine because it uses human single-cell genomics, independent disease-cohort validation and systems-level regulatory evidence to refine the level at which an immunogenomic SLE finding is reproducible. The staged, auditable design is also relevant beyond SLE to secondary analysis of technically imbalanced public single-cell cohorts.</w:t>
      </w:r>
    </w:p>
    <w:p>
      <w:pPr>
        <w:widowControl/>
      </w:pPr>
      <w:r>
        <w:rPr>
          <w:rFonts w:ascii="Times New Roman" w:hAnsi="Times New Roman" w:eastAsia="Times New Roman"/>
          <w:color w:val="1F1F1F"/>
          <w:sz w:val="20"/>
        </w:rPr>
        <w:t>All datasets are public and are cited by accession. Scripts, machine-readable decisions, figure source data and integrity manifests are versioned in the accompanying repository. The submission includes five vector main figures rendered at 170 mm with 600-dpi PNG companions, nine supplementary figures, machine-readable source data, a complete statistical-results archive including end-to-end identity robustness, supplementary information and a regulator-sensitivity attachment containing baseline and prespecified overlap-depletion analyses. The archived release is available at doi:10.5281/zenodo.22086892. Original project code is MIT-licensed; original manuscript text, composite figures, documentation and project-generated derived source-data tables are available under CC BY 4.0, without relicensing third-party datasets.</w:t>
      </w:r>
    </w:p>
    <w:p>
      <w:pPr>
        <w:widowControl/>
      </w:pPr>
      <w:r>
        <w:rPr>
          <w:rFonts w:ascii="Times New Roman" w:hAnsi="Times New Roman" w:eastAsia="Times New Roman"/>
          <w:color w:val="1F1F1F"/>
          <w:sz w:val="20"/>
        </w:rPr>
        <w:t>Both authors approved the manuscript, supplementary information, figures, source data, cover letter and submission. The work is original, is submitted exclusively to Genome Medicine and is not under consideration by another journal. The authors declare no competing interests and no specific funding. The manuscript transparently discloses the authors' reviewed use of generative artificial intelligence assistance.</w:t>
      </w:r>
    </w:p>
    <w:p>
      <w:pPr>
        <w:widowControl/>
      </w:pPr>
      <w:r>
        <w:rPr>
          <w:rFonts w:ascii="Times New Roman" w:hAnsi="Times New Roman" w:eastAsia="Times New Roman"/>
          <w:color w:val="1F1F1F"/>
          <w:sz w:val="20"/>
        </w:rPr>
        <w:t>Suggested reviewers and opposed reviewers, if any, will be supplied by the corresponding author through the submission system using verifiable institutional contact information.</w:t>
      </w:r>
    </w:p>
    <w:p>
      <w:pPr>
        <w:widowControl/>
      </w:pPr>
      <w:r>
        <w:rPr>
          <w:rFonts w:ascii="Times New Roman" w:hAnsi="Times New Roman" w:eastAsia="Times New Roman"/>
          <w:color w:val="1F1F1F"/>
          <w:sz w:val="20"/>
        </w:rPr>
        <w:t>Sincerely,</w:t>
      </w:r>
    </w:p>
    <w:p>
      <w:pPr>
        <w:widowControl/>
      </w:pPr>
      <w:r>
        <w:rPr>
          <w:rFonts w:ascii="Times New Roman" w:hAnsi="Times New Roman" w:eastAsia="Times New Roman"/>
          <w:color w:val="1F1F1F"/>
          <w:sz w:val="20"/>
        </w:rPr>
        <w:t>Teng Qi Corresponding author tengqi@link.cuhk.edu.cn</w:t>
      </w:r>
    </w:p>
    <w:sectPr w:rsidR="00FC693F" w:rsidRPr="0006063C" w:rsidSect="00034616">
      <w:footerReference w:type="default" r:id="rId9"/>
      <w:footerReference w:type="even" r:id="rId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Rule="auto" w:line="252"/>
    </w:pPr>
    <w:rPr>
      <w:rFonts w:ascii="Times New Roman" w:hAnsi="Times New Roman" w:eastAsia="Times New Roman"/>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Rule="auto" w:line="276"/>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Genome Medicine cover letter</dc:title>
  <dc:subject>Genome Medicine Research submission</dc:subject>
  <dc:creator>Zhi Chen; Teng Qi</dc:creator>
  <cp:keywords>SLE; B cells; single-cell RNA sequencing; interferon</cp:keywords>
  <dc:description>Generated reproducibly from Gate C8S Markdown sources.</dc:description>
  <cp:lastModifiedBy/>
  <cp:revision>1</cp:revision>
  <dcterms:created xsi:type="dcterms:W3CDTF">2013-12-23T23:15:00Z</dcterms:created>
  <dcterms:modified xsi:type="dcterms:W3CDTF">2013-12-23T23:15:00Z</dcterms:modified>
  <cp:category/>
</cp:coreProperties>
</file>