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1F1F"/>
          <w:sz w:val="32"/>
        </w:rPr>
        <w:t>Disease-blind single-cell reconstruction separates unstable B-cell states from reproducible interferon remodeling in systemic lupus erythematosus</w:t>
      </w:r>
    </w:p>
    <w:p>
      <w:pPr>
        <w:widowControl/>
      </w:pPr>
      <w:r>
        <w:rPr>
          <w:rFonts w:ascii="Times New Roman" w:hAnsi="Times New Roman" w:eastAsia="Times New Roman"/>
          <w:b/>
          <w:color w:val="1F1F1F"/>
          <w:sz w:val="24"/>
        </w:rPr>
        <w:t>Article type:</w:t>
      </w:r>
      <w:r>
        <w:rPr>
          <w:rFonts w:ascii="Times New Roman" w:hAnsi="Times New Roman" w:eastAsia="Times New Roman"/>
          <w:color w:val="1F1F1F"/>
          <w:sz w:val="24"/>
        </w:rPr>
        <w:t xml:space="preserve"> Research</w:t>
      </w:r>
    </w:p>
    <w:p>
      <w:pPr>
        <w:widowControl/>
      </w:pPr>
      <w:r>
        <w:rPr>
          <w:rFonts w:ascii="Times New Roman" w:hAnsi="Times New Roman" w:eastAsia="Times New Roman"/>
          <w:b/>
          <w:color w:val="1F1F1F"/>
          <w:sz w:val="24"/>
        </w:rPr>
        <w:t>Authors:</w:t>
      </w:r>
      <w:r>
        <w:rPr>
          <w:rFonts w:ascii="Times New Roman" w:hAnsi="Times New Roman" w:eastAsia="Times New Roman"/>
          <w:color w:val="1F1F1F"/>
          <w:sz w:val="24"/>
        </w:rPr>
        <w:t xml:space="preserve"> Zhi Chen [1] and Teng Qi [1,*]</w:t>
      </w:r>
    </w:p>
    <w:p>
      <w:pPr>
        <w:widowControl/>
      </w:pPr>
      <w:r>
        <w:rPr>
          <w:rFonts w:ascii="Times New Roman" w:hAnsi="Times New Roman" w:eastAsia="Times New Roman"/>
          <w:b/>
          <w:color w:val="1F1F1F"/>
          <w:sz w:val="24"/>
        </w:rPr>
        <w:t>Affiliation 1:</w:t>
      </w:r>
      <w:r>
        <w:rPr>
          <w:rFonts w:ascii="Times New Roman" w:hAnsi="Times New Roman" w:eastAsia="Times New Roman"/>
          <w:color w:val="1F1F1F"/>
          <w:sz w:val="24"/>
        </w:rPr>
        <w:t xml:space="preserve"> School of Medicine, The Chinese University of Hong Kong, Shenzhen, Shenzhen 518172, China</w:t>
      </w:r>
    </w:p>
    <w:p>
      <w:pPr>
        <w:widowControl/>
      </w:pPr>
      <w:r>
        <w:rPr>
          <w:rFonts w:ascii="Times New Roman" w:hAnsi="Times New Roman" w:eastAsia="Times New Roman"/>
          <w:b/>
          <w:color w:val="1F1F1F"/>
          <w:sz w:val="24"/>
        </w:rPr>
        <w:t>Corresponding author:</w:t>
      </w:r>
      <w:r>
        <w:rPr>
          <w:rFonts w:ascii="Times New Roman" w:hAnsi="Times New Roman" w:eastAsia="Times New Roman"/>
          <w:color w:val="1F1F1F"/>
          <w:sz w:val="24"/>
        </w:rPr>
        <w:t xml:space="preserve"> Teng Qi, School of Medicine, The Chinese University of Hong Kong, Shenzhen, MED Start-up Building, 2001 Longxiang Boulevard, Longgang District, Shenzhen 518172, China; tengqi@link.cuhk.edu.cn</w:t>
      </w:r>
    </w:p>
    <w:p>
      <w:pPr>
        <w:widowControl/>
      </w:pPr>
      <w:r>
        <w:rPr>
          <w:rFonts w:ascii="Times New Roman" w:hAnsi="Times New Roman" w:eastAsia="Times New Roman"/>
          <w:b/>
          <w:color w:val="1F1F1F"/>
          <w:sz w:val="24"/>
        </w:rPr>
        <w:t>ORCID identifiers:</w:t>
      </w:r>
      <w:r>
        <w:rPr>
          <w:rFonts w:ascii="Times New Roman" w:hAnsi="Times New Roman" w:eastAsia="Times New Roman"/>
          <w:color w:val="1F1F1F"/>
          <w:sz w:val="24"/>
        </w:rPr>
        <w:t xml:space="preserve"> Zhi Chen, https://orcid.org/0009-0001-0072-5576; Teng Qi, https://orcid.org/0009-0007-7648-4776</w:t>
      </w:r>
    </w:p>
    <w:p>
      <w:pPr>
        <w:widowControl/>
      </w:pPr>
      <w:r>
        <w:rPr>
          <w:rFonts w:ascii="Times New Roman" w:hAnsi="Times New Roman" w:eastAsia="Times New Roman"/>
          <w:b/>
          <w:color w:val="1F1F1F"/>
          <w:sz w:val="24"/>
        </w:rPr>
        <w:t>Author emails:</w:t>
      </w:r>
      <w:r>
        <w:rPr>
          <w:rFonts w:ascii="Times New Roman" w:hAnsi="Times New Roman" w:eastAsia="Times New Roman"/>
          <w:color w:val="1F1F1F"/>
          <w:sz w:val="24"/>
        </w:rPr>
        <w:t xml:space="preserve"> Zhi Chen, zhichen1@link.cuhk.edu.cn; Teng Qi, tengqi@link.cuhk.edu.cn</w:t>
      </w:r>
    </w:p>
    <w:p>
      <w:pPr>
        <w:widowControl/>
      </w:pPr>
      <w:r>
        <w:rPr>
          <w:rFonts w:ascii="Times New Roman" w:hAnsi="Times New Roman" w:eastAsia="Times New Roman"/>
          <w:b/>
          <w:color w:val="1F1F1F"/>
          <w:sz w:val="24"/>
        </w:rPr>
        <w:t>Running title:</w:t>
      </w:r>
      <w:r>
        <w:rPr>
          <w:rFonts w:ascii="Times New Roman" w:hAnsi="Times New Roman" w:eastAsia="Times New Roman"/>
          <w:color w:val="1F1F1F"/>
          <w:sz w:val="24"/>
        </w:rPr>
        <w:t xml:space="preserve"> Replicated IFN remodeling in SLE B cells</w:t>
      </w:r>
    </w:p>
    <w:p>
      <w:pPr>
        <w:pStyle w:val="Heading1"/>
      </w:pPr>
      <w:r>
        <w:rPr>
          <w:rFonts w:ascii="Times New Roman" w:hAnsi="Times New Roman" w:eastAsia="Times New Roman"/>
          <w:color w:val="1F1F1F"/>
          <w:sz w:val="28"/>
        </w:rPr>
        <w:t>Abstract</w:t>
      </w:r>
    </w:p>
    <w:p>
      <w:pPr>
        <w:widowControl/>
      </w:pPr>
      <w:r>
        <w:rPr>
          <w:rFonts w:ascii="Times New Roman" w:hAnsi="Times New Roman" w:eastAsia="Times New Roman"/>
          <w:b/>
          <w:color w:val="1F1F1F"/>
          <w:sz w:val="24"/>
        </w:rPr>
        <w:t>Background:</w:t>
      </w:r>
      <w:r>
        <w:rPr>
          <w:rFonts w:ascii="Times New Roman" w:hAnsi="Times New Roman" w:eastAsia="Times New Roman"/>
          <w:color w:val="1F1F1F"/>
          <w:sz w:val="24"/>
        </w:rPr>
        <w:t xml:space="preserve"> SLE alters both the abundance and transcriptional state of peripheral B cells, but these layers can be conflated by outcome-informed annotation, cell-level inference and technically imbalanced cohorts.</w:t>
      </w:r>
    </w:p>
    <w:p>
      <w:pPr>
        <w:widowControl/>
      </w:pPr>
      <w:r>
        <w:rPr>
          <w:rFonts w:ascii="Times New Roman" w:hAnsi="Times New Roman" w:eastAsia="Times New Roman"/>
          <w:b/>
          <w:color w:val="1F1F1F"/>
          <w:sz w:val="24"/>
        </w:rPr>
        <w:t>Methods:</w:t>
      </w:r>
      <w:r>
        <w:rPr>
          <w:rFonts w:ascii="Times New Roman" w:hAnsi="Times New Roman" w:eastAsia="Times New Roman"/>
          <w:color w:val="1F1F1F"/>
          <w:sz w:val="24"/>
        </w:rPr>
        <w:t xml:space="preserve"> We performed a donor- and cohort-resolved reanalysis of public single-cell RNA-sequencing data. B-lineage identity was reconstructed without disease labels in GSE174188 before sample-level composition and sample-by-compartment pseudobulk testing. A frozen program was evaluated in independent GSE135779, followed by a prespecified 24-test CollecTRI family, correlation-aware STAT1/STAT2 sensitivity tests, MSigDB M5911 enrichment and paired IFN-beta perturbation profiles from GSE23307.</w:t>
      </w:r>
    </w:p>
    <w:p>
      <w:pPr>
        <w:widowControl/>
      </w:pPr>
      <w:r>
        <w:rPr>
          <w:rFonts w:ascii="Times New Roman" w:hAnsi="Times New Roman" w:eastAsia="Times New Roman"/>
          <w:b/>
          <w:color w:val="1F1F1F"/>
          <w:sz w:val="24"/>
        </w:rPr>
        <w:t>Results:</w:t>
      </w:r>
      <w:r>
        <w:rPr>
          <w:rFonts w:ascii="Times New Roman" w:hAnsi="Times New Roman" w:eastAsia="Times New Roman"/>
          <w:color w:val="1F1F1F"/>
          <w:sz w:val="24"/>
        </w:rPr>
        <w:t xml:space="preserve"> Among 150,402 quality-controlled GSE174188 B-lineage cells, resampling supported broad conventional-B (B_CONV) and antibody-secreting-cell (B_ASC) compartments but did not support stable fine-grained naive/memory subtype assignments. Primary B_ASC relative abundance was not associated with SLE (odds ratio 0.947, 95% confidence interval 0.636-1.410; P=0.787). Within B_CONV, the prespecified IFN/ISG program increased in the primary contrast (effect 0.837, 95% confidence interval 0.525-1.148; q=2.98 x 10^-6), a donor-nonoverlap internal contrast (effect 1.086; q=3.61 x 10^-4) and independent GSE135779 childhood donors (11 controls and 32 SLE; effect 1.042, 95% confidence interval 0.681-1.402; q=2.98 x 10^-6). All ten jointly tested IFN genes were positive despite low genome-wide agreement (Spearman rho=0.026). STAT1 and STAT2 target activities were positive and globally significant in all three contrasts under the primary ULM analysis. Correlation-aware CAMERA retained the positive direction in all six core tests and BH significance in five; FRY retained direction and BH significance in all six. M5911 was enriched in all contrasts, and IFN-beta exposure increased all 12 frozen genes in each of two healthy-donor profiles.</w:t>
      </w:r>
    </w:p>
    <w:p>
      <w:pPr>
        <w:widowControl/>
      </w:pPr>
      <w:r>
        <w:rPr>
          <w:rFonts w:ascii="Times New Roman" w:hAnsi="Times New Roman" w:eastAsia="Times New Roman"/>
          <w:b/>
          <w:color w:val="1F1F1F"/>
          <w:sz w:val="24"/>
        </w:rPr>
        <w:t>Conclusions:</w:t>
      </w:r>
      <w:r>
        <w:rPr>
          <w:rFonts w:ascii="Times New Roman" w:hAnsi="Times New Roman" w:eastAsia="Times New Roman"/>
          <w:color w:val="1F1F1F"/>
          <w:sz w:val="24"/>
        </w:rPr>
        <w:t xml:space="preserve"> SLE shows independently replicated IFN remodeling within a disease-blind broad conventional-B compartment, with convergent but observational regulatory evidence. The results do not establish a discrete subtype, causal regulator or unique upstream stimulus.</w:t>
      </w:r>
    </w:p>
    <w:p>
      <w:pPr>
        <w:pStyle w:val="Heading1"/>
      </w:pPr>
      <w:r>
        <w:rPr>
          <w:rFonts w:ascii="Times New Roman" w:hAnsi="Times New Roman" w:eastAsia="Times New Roman"/>
          <w:color w:val="1F1F1F"/>
          <w:sz w:val="28"/>
        </w:rPr>
        <w:t>Keywords</w:t>
      </w:r>
    </w:p>
    <w:p>
      <w:pPr>
        <w:widowControl/>
      </w:pPr>
      <w:r>
        <w:rPr>
          <w:rFonts w:ascii="Times New Roman" w:hAnsi="Times New Roman" w:eastAsia="Times New Roman"/>
          <w:color w:val="1F1F1F"/>
          <w:sz w:val="24"/>
        </w:rPr>
        <w:t>systemic lupus erythematosus; B cells; single-cell RNA sequencing; pseudobulk; interferon; independent validation; transcription-factor activity; reproducibility</w:t>
      </w:r>
    </w:p>
    <w:p>
      <w:pPr>
        <w:pStyle w:val="Heading1"/>
      </w:pPr>
      <w:r>
        <w:rPr>
          <w:rFonts w:ascii="Times New Roman" w:hAnsi="Times New Roman" w:eastAsia="Times New Roman"/>
          <w:color w:val="1F1F1F"/>
          <w:sz w:val="28"/>
        </w:rPr>
        <w:t>Background</w:t>
      </w:r>
    </w:p>
    <w:p>
      <w:pPr>
        <w:widowControl/>
      </w:pPr>
      <w:r>
        <w:rPr>
          <w:rFonts w:ascii="Times New Roman" w:hAnsi="Times New Roman" w:eastAsia="Times New Roman"/>
          <w:color w:val="1F1F1F"/>
          <w:sz w:val="24"/>
        </w:rPr>
        <w:t>Systemic lupus erythematosus (SLE) is a heterogeneous autoimmune disease involving loss of B-cell tolerance, autoantibody production and sustained innate immune activation. Peripheral-blood single-cell studies have described changes in naive, memory, double-negative, CD11c-positive and antibody-secreting B-cell populations together with prominent interferon responses [1,2,22,24]. Tissue single-cell data and B-cell-focused experiments further connect interferon-responsive states with local inflammation, B-cell activation and plasma-cell differentiation [21,25,30].</w:t>
      </w:r>
    </w:p>
    <w:p>
      <w:pPr>
        <w:widowControl/>
      </w:pPr>
      <w:r>
        <w:rPr>
          <w:rFonts w:ascii="Times New Roman" w:hAnsi="Times New Roman" w:eastAsia="Times New Roman"/>
          <w:color w:val="1F1F1F"/>
          <w:sz w:val="24"/>
        </w:rPr>
        <w:t xml:space="preserve">Neither an interferon signature nor plasmablast biology is novel in SLE. Longitudinal paediatric immunomonitoring linked a plasmablast signature to disease activity [20], modular adult studies resolved heterogeneous interferon activation thresholds [23], and a recent deep-phenotyping study found that a high plasmablast-to-memory ratio marked a subgroup enriched for higher activity and Sm/RNP autoantibodies [19]. Large transcriptomic analyses likewise identify multiple molecular endotypes that are not uniformly represented across datasets [18]. These findings make cohort structure and disease context central to interpretation: a null primary composition estimate in the source-defined </w:t>
      </w:r>
      <w:r>
        <w:rPr>
          <w:rFonts w:ascii="Courier New" w:hAnsi="Courier New" w:eastAsia="Courier New"/>
          <w:color w:val="1F1F1F"/>
          <w:sz w:val="23"/>
        </w:rPr>
        <w:t>managed</w:t>
      </w:r>
      <w:r>
        <w:rPr>
          <w:rFonts w:ascii="Times New Roman" w:hAnsi="Times New Roman" w:eastAsia="Times New Roman"/>
          <w:color w:val="1F1F1F"/>
          <w:sz w:val="24"/>
        </w:rPr>
        <w:t xml:space="preserve"> SLE category need not contradict plasmablast expansion in clinically enriched subgroups. Recent single-cell profiling of 16 women with SLE in low disease activity on antimalarial treatment further showed that interferon activity varied with polygenic-risk burden across several immune compartments [31]. That study reinforces the need to separate persistent interferon-responsive state from disease activity and treatment context, but it did not test our disease-blind B_CONV program and is therefore contextual rather than replication evidence.</w:t>
      </w:r>
    </w:p>
    <w:p>
      <w:pPr>
        <w:widowControl/>
      </w:pPr>
      <w:r>
        <w:rPr>
          <w:rFonts w:ascii="Times New Roman" w:hAnsi="Times New Roman" w:eastAsia="Times New Roman"/>
          <w:color w:val="1F1F1F"/>
          <w:sz w:val="24"/>
        </w:rPr>
        <w:t>Single-cell disease studies are particularly vulnerable to pseudoreplication when cells, rather than donors or biological samples, are treated as independent units [3,4]. Composition introduces an additional constraint because an increase in one compartment changes the observed fractions of all others [5]. Public SLE resources also distribute samples across processing cohorts, include repeated donors and provide uneven disease-group support within technical strata. Outcome-informed cluster labels or pooled cell-level tests can therefore combine biology with design structure.</w:t>
      </w:r>
    </w:p>
    <w:p>
      <w:pPr>
        <w:widowControl/>
      </w:pPr>
      <w:r>
        <w:rPr>
          <w:rFonts w:ascii="Times New Roman" w:hAnsi="Times New Roman" w:eastAsia="Times New Roman"/>
          <w:color w:val="1F1F1F"/>
          <w:sz w:val="24"/>
        </w:rPr>
        <w:t>We addressed these problems through a staged secondary analysis. Raw-count integrity, metadata hierarchy and disease-by-cohort support were audited first. B-lineage identity was reconstructed while protected disease fields remained separate. Only after a disease-blind identity model was frozen were sample-level composition and within-compartment transcription tested. The primary expression result was then carried into independent GSE135779 under a prespecified mapping and analysis plan finalized before disease-effect estimation.</w:t>
      </w:r>
    </w:p>
    <w:p>
      <w:pPr>
        <w:widowControl/>
      </w:pPr>
      <w:r>
        <w:rPr>
          <w:rFonts w:ascii="Times New Roman" w:hAnsi="Times New Roman" w:eastAsia="Times New Roman"/>
          <w:color w:val="1F1F1F"/>
          <w:sz w:val="24"/>
        </w:rPr>
        <w:t>The intended advance is therefore not rediscovery of interferon activity in SLE. We ask which biological layer remains defensible after disease-blind state definition, sample- or donor-level inference, donor-nonoverlap internal testing, independent-cohort validation and external regulatory and perturbational checks. This design distinguishes a reproducible within-compartment process from unstable subtype labels, cohort-specific abundance effects and causal claims that the available observational data cannot support.</w:t>
      </w:r>
    </w:p>
    <w:p>
      <w:pPr>
        <w:pStyle w:val="Heading1"/>
      </w:pPr>
      <w:r>
        <w:rPr>
          <w:rFonts w:ascii="Times New Roman" w:hAnsi="Times New Roman" w:eastAsia="Times New Roman"/>
          <w:color w:val="1F1F1F"/>
          <w:sz w:val="28"/>
        </w:rPr>
        <w:t>Methods</w:t>
      </w:r>
    </w:p>
    <w:p>
      <w:pPr>
        <w:pStyle w:val="Heading2"/>
      </w:pPr>
      <w:r>
        <w:rPr>
          <w:rFonts w:ascii="Times New Roman" w:hAnsi="Times New Roman" w:eastAsia="Times New Roman"/>
          <w:color w:val="1F1F1F"/>
          <w:sz w:val="24"/>
        </w:rPr>
        <w:t>Study design and data resources</w:t>
      </w:r>
    </w:p>
    <w:p>
      <w:pPr>
        <w:widowControl/>
      </w:pPr>
      <w:r>
        <w:rPr>
          <w:rFonts w:ascii="Times New Roman" w:hAnsi="Times New Roman" w:eastAsia="Times New Roman"/>
          <w:color w:val="1F1F1F"/>
          <w:sz w:val="24"/>
        </w:rPr>
        <w:t>The study was a secondary analysis of public human transcriptomic data. GSE174188 [1,14] was used for disease-blind B-lineage reconstruction, sample-level composition, within-compartment transcriptional analysis and internal validation. GSE135779 [2,15] was the independent SLE validation dataset. CollecTRI and MSigDB supplied independently curated regulatory and response priors, and GSE23307 [13,16] supplied paired IFN-beta perturbation profiles from healthy-donor primary B cells. Resources not contributing to the central replication claim were excluded from the active manuscript.</w:t>
      </w:r>
    </w:p>
    <w:p>
      <w:pPr>
        <w:pStyle w:val="Heading2"/>
      </w:pPr>
      <w:r>
        <w:rPr>
          <w:rFonts w:ascii="Times New Roman" w:hAnsi="Times New Roman" w:eastAsia="Times New Roman"/>
          <w:color w:val="1F1F1F"/>
          <w:sz w:val="24"/>
        </w:rPr>
        <w:t>Source integrity, metadata hierarchy and hard quality control</w:t>
      </w:r>
    </w:p>
    <w:p>
      <w:pPr>
        <w:widowControl/>
      </w:pPr>
      <w:r>
        <w:rPr>
          <w:rFonts w:ascii="Times New Roman" w:hAnsi="Times New Roman" w:eastAsia="Times New Roman"/>
          <w:color w:val="1F1F1F"/>
          <w:sz w:val="24"/>
        </w:rPr>
        <w:t>Source paths, SHA-256 hashes, matrix dimensions and matrix encodings were frozen before analysis. Metadata keys were audited at donor, biological-sample, technical library and processing-cohort levels. Hard-quality-control thresholds were at least 500 total counts, at least 200 detected genes, no more than 10% mitochondrial counts, no more than 1% haemoglobin counts, no more than 0.5% platelet-marker counts and detection of at least one B-lineage marker. Each excluded cell retained a reason-level record. Protected disease fields were stored separately during reconstruction.</w:t>
      </w:r>
    </w:p>
    <w:p>
      <w:pPr>
        <w:pStyle w:val="Heading2"/>
      </w:pPr>
      <w:r>
        <w:rPr>
          <w:rFonts w:ascii="Times New Roman" w:hAnsi="Times New Roman" w:eastAsia="Times New Roman"/>
          <w:color w:val="1F1F1F"/>
          <w:sz w:val="24"/>
        </w:rPr>
        <w:t>Disease-blind representation and identity freeze</w:t>
      </w:r>
    </w:p>
    <w:p>
      <w:pPr>
        <w:widowControl/>
      </w:pPr>
      <w:r>
        <w:rPr>
          <w:rFonts w:ascii="Times New Roman" w:hAnsi="Times New Roman" w:eastAsia="Times New Roman"/>
          <w:color w:val="1F1F1F"/>
          <w:sz w:val="24"/>
        </w:rPr>
        <w:t>Residual doublet risk was evaluated per complete library. Raw counts were retained for pseudobulk, whereas normalized log expression was used for recurrent highly variable gene selection, principal components and neighbor graphs. Unintegrated Scanpy [6] and Harmony-adjusted [7] representations were compared using technical mixing, biological marker conservation, bridge samples and coverage across donors, samples and libraries. Leiden [8] solutions were evaluated across resolutions and 20 cell-resampling runs. Failure of the fine-grained solution was retained. A two-compartment solution was reconstructed from resampling transitions and approved only after marker and stability checks while disease remained blinded.</w:t>
      </w:r>
    </w:p>
    <w:p>
      <w:pPr>
        <w:pStyle w:val="Heading2"/>
      </w:pPr>
      <w:r>
        <w:rPr>
          <w:rFonts w:ascii="Times New Roman" w:hAnsi="Times New Roman" w:eastAsia="Times New Roman"/>
          <w:color w:val="1F1F1F"/>
          <w:sz w:val="24"/>
        </w:rPr>
        <w:t>Sample-level composition</w:t>
      </w:r>
    </w:p>
    <w:p>
      <w:pPr>
        <w:widowControl/>
      </w:pPr>
      <w:r>
        <w:rPr>
          <w:rFonts w:ascii="Times New Roman" w:hAnsi="Times New Roman" w:eastAsia="Times New Roman"/>
          <w:color w:val="1F1F1F"/>
          <w:sz w:val="24"/>
        </w:rPr>
        <w:t xml:space="preserve">Cells were aggregated by biological sample and processing cohort. The experimental unit was the sample-cohort stratum, with donor-aware sensitivity analyses for repeated samples. Models were restricted to prespecified processing cohorts with case-control common support and to strata with at least 50 frozen B cells. The primary comparison was processing cohort 4 source-metadata </w:t>
      </w:r>
      <w:r>
        <w:rPr>
          <w:rFonts w:ascii="Courier New" w:hAnsi="Courier New" w:eastAsia="Courier New"/>
          <w:color w:val="1F1F1F"/>
          <w:sz w:val="23"/>
        </w:rPr>
        <w:t>managed</w:t>
      </w:r>
      <w:r>
        <w:rPr>
          <w:rFonts w:ascii="Times New Roman" w:hAnsi="Times New Roman" w:eastAsia="Times New Roman"/>
          <w:color w:val="1F1F1F"/>
          <w:sz w:val="24"/>
        </w:rPr>
        <w:t xml:space="preserve"> SLE versus </w:t>
      </w:r>
      <w:r>
        <w:rPr>
          <w:rFonts w:ascii="Courier New" w:hAnsi="Courier New" w:eastAsia="Courier New"/>
          <w:color w:val="1F1F1F"/>
          <w:sz w:val="23"/>
        </w:rPr>
        <w:t>normal</w:t>
      </w:r>
      <w:r>
        <w:rPr>
          <w:rFonts w:ascii="Times New Roman" w:hAnsi="Times New Roman" w:eastAsia="Times New Roman"/>
          <w:color w:val="1F1F1F"/>
          <w:sz w:val="24"/>
        </w:rPr>
        <w:t xml:space="preserve">, adjusted for age and ethnicity. Internal processing-cohort-2 and secondary processing-cohort-3 analyses of the source-metadata </w:t>
      </w:r>
      <w:r>
        <w:rPr>
          <w:rFonts w:ascii="Courier New" w:hAnsi="Courier New" w:eastAsia="Courier New"/>
          <w:color w:val="1F1F1F"/>
          <w:sz w:val="23"/>
        </w:rPr>
        <w:t>flare</w:t>
      </w:r>
      <w:r>
        <w:rPr>
          <w:rFonts w:ascii="Times New Roman" w:hAnsi="Times New Roman" w:eastAsia="Times New Roman"/>
          <w:color w:val="1F1F1F"/>
          <w:sz w:val="24"/>
        </w:rPr>
        <w:t xml:space="preserve"> category were estimated separately. Bridge strata were not used to manufacture a pooled disease coefficient. Model, sandwich, threshold, one-sample-per-donor and leave-one-out diagnostics were retained.</w:t>
      </w:r>
    </w:p>
    <w:p>
      <w:pPr>
        <w:pStyle w:val="Heading2"/>
      </w:pPr>
      <w:r>
        <w:rPr>
          <w:rFonts w:ascii="Times New Roman" w:hAnsi="Times New Roman" w:eastAsia="Times New Roman"/>
          <w:color w:val="1F1F1F"/>
          <w:sz w:val="24"/>
        </w:rPr>
        <w:t>Raw-count pseudobulk and gene-level inference</w:t>
      </w:r>
    </w:p>
    <w:p>
      <w:pPr>
        <w:widowControl/>
      </w:pPr>
      <w:r>
        <w:rPr>
          <w:rFonts w:ascii="Times New Roman" w:hAnsi="Times New Roman" w:eastAsia="Times New Roman"/>
          <w:color w:val="1F1F1F"/>
          <w:sz w:val="24"/>
        </w:rPr>
        <w:t xml:space="preserve">Raw counts were summed by sample-cohort stratum within </w:t>
      </w:r>
      <w:r>
        <w:rPr>
          <w:rFonts w:ascii="Courier New" w:hAnsi="Courier New" w:eastAsia="Courier New"/>
          <w:color w:val="1F1F1F"/>
          <w:sz w:val="23"/>
        </w:rPr>
        <w:t>B_CONV</w:t>
      </w:r>
      <w:r>
        <w:rPr>
          <w:rFonts w:ascii="Times New Roman" w:hAnsi="Times New Roman" w:eastAsia="Times New Roman"/>
          <w:color w:val="1F1F1F"/>
          <w:sz w:val="24"/>
        </w:rPr>
        <w:t xml:space="preserve">, combining technical library contributions only after cell-ID and count conservation checks. Strata with at least 50 cells were primary; 20- and 100-cell thresholds and a residual-doublet-risk-negative cell branch were prespecified sensitivities. Genes were filtered with edgeR [9] </w:t>
      </w:r>
      <w:r>
        <w:rPr>
          <w:rFonts w:ascii="Courier New" w:hAnsi="Courier New" w:eastAsia="Courier New"/>
          <w:color w:val="1F1F1F"/>
          <w:sz w:val="23"/>
        </w:rPr>
        <w:t>filterByExpr</w:t>
      </w:r>
      <w:r>
        <w:rPr>
          <w:rFonts w:ascii="Times New Roman" w:hAnsi="Times New Roman" w:eastAsia="Times New Roman"/>
          <w:color w:val="1F1F1F"/>
          <w:sz w:val="24"/>
        </w:rPr>
        <w:t>, libraries were TMM-normalized, and robust quasi-likelihood models were fitted with the frozen contrast-specific covariates. Benjamini-Hochberg adjustment was applied over tested genes within each contrast. Full feature tables retained untested genes with explicit flags.</w:t>
      </w:r>
    </w:p>
    <w:p>
      <w:pPr>
        <w:pStyle w:val="Heading2"/>
      </w:pPr>
      <w:r>
        <w:rPr>
          <w:rFonts w:ascii="Times New Roman" w:hAnsi="Times New Roman" w:eastAsia="Times New Roman"/>
          <w:color w:val="1F1F1F"/>
          <w:sz w:val="24"/>
        </w:rPr>
        <w:t>Frozen program inference</w:t>
      </w:r>
    </w:p>
    <w:p>
      <w:pPr>
        <w:widowControl/>
      </w:pPr>
      <w:r>
        <w:rPr>
          <w:rFonts w:ascii="Times New Roman" w:hAnsi="Times New Roman" w:eastAsia="Times New Roman"/>
          <w:color w:val="1F1F1F"/>
          <w:sz w:val="24"/>
        </w:rPr>
        <w:t>Program membership and direction were frozen before disease effects. Duplicate gene symbols were summed before TMM log-counts-per-million normalization. Within each contrast, genes were standardized across pseudobulks and program scores were computed as the mean positive-arm score minus the mean negative-arm score. Disease effects and 95% confidence intervals used linear models with HC3 sandwich uncertainty. The confirmatory family comprised naive-to-memory, atypical/low-naive, APC/HLA and IFN/ISG programs; Benjamini-Hochberg correction was applied across these four tests. Ranked competitive enrichment and gene-direction coherence were secondary support.</w:t>
      </w:r>
    </w:p>
    <w:p>
      <w:pPr>
        <w:pStyle w:val="Heading2"/>
      </w:pPr>
      <w:r>
        <w:rPr>
          <w:rFonts w:ascii="Times New Roman" w:hAnsi="Times New Roman" w:eastAsia="Times New Roman"/>
          <w:color w:val="1F1F1F"/>
          <w:sz w:val="24"/>
        </w:rPr>
        <w:t>Independent GSE135779 validation</w:t>
      </w:r>
    </w:p>
    <w:p>
      <w:pPr>
        <w:widowControl/>
      </w:pPr>
      <w:r>
        <w:rPr>
          <w:rFonts w:ascii="Times New Roman" w:hAnsi="Times New Roman" w:eastAsia="Times New Roman"/>
          <w:color w:val="1F1F1F"/>
          <w:sz w:val="24"/>
        </w:rPr>
        <w:t>GSE135779 source files, metadata versions, donor availability, source-label support and frozen program-gene availability were audited without inspecting disease effects. The external identity scope was a broad conventional-B analog formed from eight source B-cell labels. Childhood, adult and combined model matrices and minimum-cell sensitivities were frozen before model fitting. Real matrices were imported for dimension and count-conservation qualification only; synthetic null and signal data qualified the statistical engine before disease effects were estimated. Gene and program methods then matched the GSE174188 framework where the different gene universe allowed.</w:t>
      </w:r>
    </w:p>
    <w:p>
      <w:pPr>
        <w:pStyle w:val="Heading2"/>
      </w:pPr>
      <w:r>
        <w:rPr>
          <w:rFonts w:ascii="Times New Roman" w:hAnsi="Times New Roman" w:eastAsia="Times New Roman"/>
          <w:color w:val="1F1F1F"/>
          <w:sz w:val="24"/>
        </w:rPr>
        <w:t>Influence, specificity and cross-dataset analyses</w:t>
      </w:r>
    </w:p>
    <w:p>
      <w:pPr>
        <w:widowControl/>
      </w:pPr>
      <w:r>
        <w:rPr>
          <w:rFonts w:ascii="Times New Roman" w:hAnsi="Times New Roman" w:eastAsia="Times New Roman"/>
          <w:color w:val="1F1F1F"/>
          <w:sz w:val="24"/>
        </w:rPr>
        <w:t>The childhood IFN/ISG model was repeated after deleting each donor. Source-label dependence was assessed by omitting each of the eight contributing labels without reselecting donors. Platelet/ambient, ASC/UPR and pan-B families were prespecified as controls. Cross-dataset gene analysis was restricted to genes passing the respective filters in both primary datasets; the shared IFN subset was reported separately from the genome-wide rank correlation.</w:t>
      </w:r>
    </w:p>
    <w:p>
      <w:pPr>
        <w:pStyle w:val="Heading2"/>
      </w:pPr>
      <w:r>
        <w:rPr>
          <w:rFonts w:ascii="Times New Roman" w:hAnsi="Times New Roman" w:eastAsia="Times New Roman"/>
          <w:color w:val="1F1F1F"/>
          <w:sz w:val="24"/>
        </w:rPr>
        <w:t>Prespecified TF-target activity</w:t>
      </w:r>
    </w:p>
    <w:p>
      <w:pPr>
        <w:widowControl/>
      </w:pPr>
      <w:r>
        <w:rPr>
          <w:rFonts w:ascii="Times New Roman" w:hAnsi="Times New Roman" w:eastAsia="Times New Roman"/>
          <w:color w:val="1F1F1F"/>
          <w:sz w:val="24"/>
        </w:rPr>
        <w:t xml:space="preserve">Human CollecTRI interactions [10,11] were retrieved from OmniPath on 15 August 2026 and frozen by raw SHA-256 </w:t>
      </w:r>
      <w:r>
        <w:rPr>
          <w:rFonts w:ascii="Courier New" w:hAnsi="Courier New" w:eastAsia="Courier New"/>
          <w:color w:val="1F1F1F"/>
          <w:sz w:val="23"/>
        </w:rPr>
        <w:t>98EF1163146D2E28EE413E7C909174998CD9D742EA93D97CCFE93F3A14C160C1</w:t>
      </w:r>
      <w:r>
        <w:rPr>
          <w:rFonts w:ascii="Times New Roman" w:hAnsi="Times New Roman" w:eastAsia="Times New Roman"/>
          <w:color w:val="1F1F1F"/>
          <w:sz w:val="24"/>
        </w:rPr>
        <w:t>. Only exact individual-TF source symbols were used. Consensus stimulation and inhibition were encoded as +1 and -1, respectively; ambiguous target directions were excluded, and duplicate same-sign edges were collapsed. The confirmatory family comprised STAT1, STAT2, IRF7, IRF9, E2F1, FOXM1, MYC and MYBL2 in the GSE174188 primary, GSE174188 donor-nonoverlap and GSE135779 childhood contrasts.</w:t>
      </w:r>
    </w:p>
    <w:p>
      <w:pPr>
        <w:widowControl/>
      </w:pPr>
      <w:r>
        <w:rPr>
          <w:rFonts w:ascii="Times New Roman" w:hAnsi="Times New Roman" w:eastAsia="Times New Roman"/>
          <w:color w:val="1F1F1F"/>
          <w:sz w:val="24"/>
        </w:rPr>
        <w:t xml:space="preserve">For every tested Ensembl feature, the ranked statistic was </w:t>
      </w:r>
      <w:r>
        <w:rPr>
          <w:rFonts w:ascii="Courier New" w:hAnsi="Courier New" w:eastAsia="Courier New"/>
          <w:color w:val="1F1F1F"/>
          <w:sz w:val="23"/>
        </w:rPr>
        <w:t>sign(logFC) * sqrt(F)</w:t>
      </w:r>
      <w:r>
        <w:rPr>
          <w:rFonts w:ascii="Times New Roman" w:hAnsi="Times New Roman" w:eastAsia="Times New Roman"/>
          <w:color w:val="1F1F1F"/>
          <w:sz w:val="24"/>
        </w:rPr>
        <w:t xml:space="preserve"> from the frozen robust edgeR quasi-likelihood result. Features were mapped to uppercase symbols, and statistics were averaged when multiple tested Ensembl features mapped to one symbol. For each regulator and contrast, a univariate linear model with an intercept regressed the gene-level statistic on the signed target weight. The slope, standard error, two-sided P value and 95% confidence interval were reproduced independently by direct matrix algebra. Benjamini-Hochberg correction was applied once across all 24 confirmatory tests. For each core regulator and contrast, influence analysis deleted each matched target in turn, and 100 deterministic analyses resampled 80% of matched targets.</w:t>
      </w:r>
    </w:p>
    <w:p>
      <w:pPr>
        <w:pStyle w:val="Heading2"/>
      </w:pPr>
      <w:r>
        <w:rPr>
          <w:rFonts w:ascii="Times New Roman" w:hAnsi="Times New Roman" w:eastAsia="Times New Roman"/>
          <w:color w:val="1F1F1F"/>
          <w:sz w:val="24"/>
        </w:rPr>
        <w:t>Correlation-aware STAT1/STAT2 sensitivity</w:t>
      </w:r>
    </w:p>
    <w:p>
      <w:pPr>
        <w:widowControl/>
      </w:pPr>
      <w:r>
        <w:rPr>
          <w:rFonts w:ascii="Times New Roman" w:hAnsi="Times New Roman" w:eastAsia="Times New Roman"/>
          <w:color w:val="1F1F1F"/>
          <w:sz w:val="24"/>
        </w:rPr>
        <w:t xml:space="preserve">Because genes within a regulon are correlated, the primary rank-based ULM results were supplemented by a correlation-aware sensitivity analysis that did not alter the frozen regulators, signed CollecTRI targets, contrasts, model matrices or </w:t>
      </w:r>
      <w:r>
        <w:rPr>
          <w:rFonts w:ascii="Courier New" w:hAnsi="Courier New" w:eastAsia="Courier New"/>
          <w:color w:val="1F1F1F"/>
          <w:sz w:val="23"/>
        </w:rPr>
        <w:t>filterByExpr</w:t>
      </w:r>
      <w:r>
        <w:rPr>
          <w:rFonts w:ascii="Times New Roman" w:hAnsi="Times New Roman" w:eastAsia="Times New Roman"/>
          <w:color w:val="1F1F1F"/>
          <w:sz w:val="24"/>
        </w:rPr>
        <w:t xml:space="preserve"> backgrounds. Pseudobulk counts were collapsed to gene symbols and transformed with voom precision weights [28,29]. Expression rows for inhibitory targets were sign-reversed so that positive set direction retained the frozen signed-regulon interpretation. For STAT1 and STAT2 in each of the three confirmatory contrasts, CAMERA estimated inter-gene correlation from model residuals and performed a competitive rank test [26], while FRY supplied a rotation-based directional test [27]. Benjamini-Hochberg adjustment was applied separately across the six core regulator-contrast tests for each method. Target counts were required to match the frozen ULM analysis exactly; no target, regulator, contrast or background was reselected after inspecting the sensitivity results.</w:t>
      </w:r>
    </w:p>
    <w:p>
      <w:pPr>
        <w:pStyle w:val="Heading2"/>
      </w:pPr>
      <w:r>
        <w:rPr>
          <w:rFonts w:ascii="Times New Roman" w:hAnsi="Times New Roman" w:eastAsia="Times New Roman"/>
          <w:color w:val="1F1F1F"/>
          <w:sz w:val="24"/>
        </w:rPr>
        <w:t>Orthogonal interferon-response analyses</w:t>
      </w:r>
    </w:p>
    <w:p>
      <w:pPr>
        <w:widowControl/>
      </w:pPr>
      <w:r>
        <w:rPr>
          <w:rFonts w:ascii="Times New Roman" w:hAnsi="Times New Roman" w:eastAsia="Times New Roman"/>
          <w:color w:val="1F1F1F"/>
          <w:sz w:val="24"/>
        </w:rPr>
        <w:t xml:space="preserve">MSigDB [12] human release 2026.1.Hs Hallmark set </w:t>
      </w:r>
      <w:r>
        <w:rPr>
          <w:rFonts w:ascii="Courier New" w:hAnsi="Courier New" w:eastAsia="Courier New"/>
          <w:color w:val="1F1F1F"/>
          <w:sz w:val="23"/>
        </w:rPr>
        <w:t>HALLMARK_INTERFERON_ALPHA_RESPONSE</w:t>
      </w:r>
      <w:r>
        <w:rPr>
          <w:rFonts w:ascii="Times New Roman" w:hAnsi="Times New Roman" w:eastAsia="Times New Roman"/>
          <w:color w:val="1F1F1F"/>
          <w:sz w:val="24"/>
        </w:rPr>
        <w:t xml:space="preserve"> (systematic identifier M5911; 97 frozen member genes) was tested against each complete ranked contrast. Preranked enrichment used 10,000 deterministic gene-label permutations, with normalized enrichment scores and descriptive three-contrast q values reported outside the 24-test TF family.</w:t>
      </w:r>
    </w:p>
    <w:p>
      <w:pPr>
        <w:widowControl/>
      </w:pPr>
      <w:r>
        <w:rPr>
          <w:rFonts w:ascii="Times New Roman" w:hAnsi="Times New Roman" w:eastAsia="Times New Roman"/>
          <w:color w:val="1F1F1F"/>
          <w:sz w:val="24"/>
        </w:rPr>
        <w:t>GSE23307 [13,16] GPL6104 microarray profiles comprised paired untreated and IFN-beta-exposed primary B cells from two healthy donors. Platform annotation was frozen before effects were calculated. Twenty-one probes mapping to the 12 frozen IFN/ISG positive-arm genes were transformed as log2(x+1), collapsed to one value per gene and sample by the median, and differenced within donor. The donor summary was the mean paired effect across 12 genes. Direction and gene concordance were descriptive; no inferential P value was calculated at n=2. Only log2(x+1)-transformed GSE23307 values contributed to the reported results, figures and claims.</w:t>
      </w:r>
    </w:p>
    <w:p>
      <w:pPr>
        <w:pStyle w:val="Heading2"/>
      </w:pPr>
      <w:r>
        <w:rPr>
          <w:rFonts w:ascii="Times New Roman" w:hAnsi="Times New Roman" w:eastAsia="Times New Roman"/>
          <w:color w:val="1F1F1F"/>
          <w:sz w:val="24"/>
        </w:rPr>
        <w:t>Statistical analysis and multiplicity</w:t>
      </w:r>
    </w:p>
    <w:p>
      <w:pPr>
        <w:widowControl/>
      </w:pPr>
      <w:r>
        <w:rPr>
          <w:rFonts w:ascii="Times New Roman" w:hAnsi="Times New Roman" w:eastAsia="Times New Roman"/>
          <w:color w:val="1F1F1F"/>
          <w:sz w:val="24"/>
        </w:rPr>
        <w:t xml:space="preserve">This retrospective secondary analysis used all eligible public biological units after frozen quality-control, support and mapping rules; no prospective sample-size or power calculation was performed. Exact analysis sizes are reported with the corresponding results and figure panels. Unless explicitly identified as directional, hypothesis tests were two-sided and intervals were 95% confidence intervals. The primary B_ASC composition model used a beta-binomial Wald test with Benjamini-Hochberg (BH) correction across the three frozen base contrasts; covariance and two-part models were sensitivity analyses with nominal P values. Gene-level robust edgeR quasi-likelihood tests used BH correction across </w:t>
      </w:r>
      <w:r>
        <w:rPr>
          <w:rFonts w:ascii="Courier New" w:hAnsi="Courier New" w:eastAsia="Courier New"/>
          <w:color w:val="1F1F1F"/>
          <w:sz w:val="23"/>
        </w:rPr>
        <w:t>filterByExpr</w:t>
      </w:r>
      <w:r>
        <w:rPr>
          <w:rFonts w:ascii="Times New Roman" w:hAnsi="Times New Roman" w:eastAsia="Times New Roman"/>
          <w:color w:val="1F1F1F"/>
          <w:sz w:val="24"/>
        </w:rPr>
        <w:t>-tested genes within each contrast. Frozen-program linear models used HC3 covariance and BH correction across the four prespecified programs within each analysis. Ranked program-arm CAMERA results were corrected within each frozen analysis.</w:t>
      </w:r>
    </w:p>
    <w:p>
      <w:pPr>
        <w:widowControl/>
      </w:pPr>
      <w:r>
        <w:rPr>
          <w:rFonts w:ascii="Times New Roman" w:hAnsi="Times New Roman" w:eastAsia="Times New Roman"/>
          <w:color w:val="1F1F1F"/>
          <w:sz w:val="24"/>
        </w:rPr>
        <w:t>The CollecTRI activity analysis used two-sided target-slope tests and one global BH family across eight regulators and three confirmatory contrasts (24 tests). The STAT1/STAT2 CAMERA and FRY analyses used positive-direction sensitivity tests with separate BH families of six tests for each method. M5911 used a positive-direction weighted preranked test with 10,000 deterministic gene-label permutations per contrast and a descriptive BH correction across three contrasts. The paired GSE23307 experiment had two donors and no inferential P value. Statistical significance was defined as q&lt;0.05 only within the stated confirmatory family; nominal and descriptive results were not promoted to confirmatory evidence. The complete family map, full gene-level tables and sanitized design matrices are provided in Additional file 4.</w:t>
      </w:r>
    </w:p>
    <w:p>
      <w:pPr>
        <w:pStyle w:val="Heading2"/>
      </w:pPr>
      <w:r>
        <w:rPr>
          <w:rFonts w:ascii="Times New Roman" w:hAnsi="Times New Roman" w:eastAsia="Times New Roman"/>
          <w:color w:val="1F1F1F"/>
          <w:sz w:val="24"/>
        </w:rPr>
        <w:t>Generative AI assistance</w:t>
      </w:r>
    </w:p>
    <w:p>
      <w:pPr>
        <w:widowControl/>
      </w:pPr>
      <w:r>
        <w:rPr>
          <w:rFonts w:ascii="Times New Roman" w:hAnsi="Times New Roman" w:eastAsia="Times New Roman"/>
          <w:color w:val="1F1F1F"/>
          <w:sz w:val="24"/>
        </w:rPr>
        <w:t>OpenAI Codex was used during project development for code drafting, workflow documentation, language editing and generation of quality-control checks. All computations were executed locally against frozen inputs; numerical results were read from machine-generated analysis outputs rather than generated by the language model. The authors reviewed the scripts, outputs, interpretations and final text and remain accountable for the work. No AI system is listed as an author.</w:t>
      </w:r>
    </w:p>
    <w:p>
      <w:pPr>
        <w:pStyle w:val="Heading2"/>
      </w:pPr>
      <w:r>
        <w:rPr>
          <w:rFonts w:ascii="Times New Roman" w:hAnsi="Times New Roman" w:eastAsia="Times New Roman"/>
          <w:color w:val="1F1F1F"/>
          <w:sz w:val="24"/>
        </w:rPr>
        <w:t>Reproducibility and governance</w:t>
      </w:r>
    </w:p>
    <w:p>
      <w:pPr>
        <w:widowControl/>
      </w:pPr>
      <w:r>
        <w:rPr>
          <w:rFonts w:ascii="Times New Roman" w:hAnsi="Times New Roman" w:eastAsia="Times New Roman"/>
          <w:color w:val="1F1F1F"/>
          <w:sz w:val="24"/>
        </w:rPr>
        <w:t>Analyses used timestamped run directories, immutable source objects, deterministic seeds, environment records, machine-readable decisions and SHA-256 integrity manifests. Disease effects were calculated only after input, design and statistical engine qualification. Earlier manuscripts and figures were retained for provenance but were not used as numerical sources for this version.</w:t>
      </w:r>
    </w:p>
    <w:p>
      <w:pPr>
        <w:pStyle w:val="Heading1"/>
      </w:pPr>
      <w:r>
        <w:rPr>
          <w:rFonts w:ascii="Times New Roman" w:hAnsi="Times New Roman" w:eastAsia="Times New Roman"/>
          <w:color w:val="1F1F1F"/>
          <w:sz w:val="28"/>
        </w:rPr>
        <w:t>Results</w:t>
      </w:r>
    </w:p>
    <w:p>
      <w:pPr>
        <w:pStyle w:val="Heading2"/>
      </w:pPr>
      <w:r>
        <w:rPr>
          <w:rFonts w:ascii="Times New Roman" w:hAnsi="Times New Roman" w:eastAsia="Times New Roman"/>
          <w:color w:val="1F1F1F"/>
          <w:sz w:val="24"/>
        </w:rPr>
        <w:t>A disease-blind two-compartment model defines the permissible biological scope</w:t>
      </w:r>
    </w:p>
    <w:p>
      <w:pPr>
        <w:widowControl/>
      </w:pPr>
      <w:r>
        <w:rPr>
          <w:rFonts w:ascii="Times New Roman" w:hAnsi="Times New Roman" w:eastAsia="Times New Roman"/>
          <w:color w:val="1F1F1F"/>
          <w:sz w:val="24"/>
        </w:rPr>
        <w:t>The authoritative GSE174188 B-lineage source contained 152,981 cells and 30,172 genes. Frozen hard-quality-control rules retained 150,402 cells. Metadata audits resolved 259 donors, 271 biological samples, 88 technical libraries and four processing cohorts, including repeated donors and samples spanning processing cohorts. Disease-by-cohort common support was not uniform, so discovery of identity could use the full disease-blind cell set whereas disease coefficients were restricted to prespecified supported contrasts.</w:t>
      </w:r>
    </w:p>
    <w:p>
      <w:pPr>
        <w:widowControl/>
      </w:pPr>
      <w:r>
        <w:rPr>
          <w:rFonts w:ascii="Times New Roman" w:hAnsi="Times New Roman" w:eastAsia="Times New Roman"/>
          <w:color w:val="1F1F1F"/>
          <w:sz w:val="24"/>
        </w:rPr>
        <w:t xml:space="preserve">Complete-library doublet diagnostics, recurrent highly variable gene selection, unintegrated and Harmony representations, bridge-sample checks and marker coverage were reviewed before outcome access. The initial five-state identity solution did not satisfy the prespecified resampling thresholds. This negative result was preserved rather than relabelled as a successful subtype analysis. Transition reconstruction supported a two-level model comprising </w:t>
      </w:r>
      <w:r>
        <w:rPr>
          <w:rFonts w:ascii="Courier New" w:hAnsi="Courier New" w:eastAsia="Courier New"/>
          <w:color w:val="1F1F1F"/>
          <w:sz w:val="23"/>
        </w:rPr>
        <w:t>B_CONV</w:t>
      </w:r>
      <w:r>
        <w:rPr>
          <w:rFonts w:ascii="Times New Roman" w:hAnsi="Times New Roman" w:eastAsia="Times New Roman"/>
          <w:color w:val="1F1F1F"/>
          <w:sz w:val="24"/>
        </w:rPr>
        <w:t xml:space="preserve"> and </w:t>
      </w:r>
      <w:r>
        <w:rPr>
          <w:rFonts w:ascii="Courier New" w:hAnsi="Courier New" w:eastAsia="Courier New"/>
          <w:color w:val="1F1F1F"/>
          <w:sz w:val="23"/>
        </w:rPr>
        <w:t>B_ASC</w:t>
      </w:r>
      <w:r>
        <w:rPr>
          <w:rFonts w:ascii="Times New Roman" w:hAnsi="Times New Roman" w:eastAsia="Times New Roman"/>
          <w:color w:val="1F1F1F"/>
          <w:sz w:val="24"/>
        </w:rPr>
        <w:t xml:space="preserve">, with naive-memory structure retained as a continuous program within </w:t>
      </w:r>
      <w:r>
        <w:rPr>
          <w:rFonts w:ascii="Courier New" w:hAnsi="Courier New" w:eastAsia="Courier New"/>
          <w:color w:val="1F1F1F"/>
          <w:sz w:val="23"/>
        </w:rPr>
        <w:t>B_CONV</w:t>
      </w:r>
      <w:r>
        <w:rPr>
          <w:rFonts w:ascii="Times New Roman" w:hAnsi="Times New Roman" w:eastAsia="Times New Roman"/>
          <w:color w:val="1F1F1F"/>
          <w:sz w:val="24"/>
        </w:rPr>
        <w:t xml:space="preserve"> and platelet-associated expression retained as a technical overlay.</w:t>
      </w:r>
    </w:p>
    <w:p>
      <w:pPr>
        <w:widowControl/>
      </w:pPr>
      <w:r>
        <w:rPr>
          <w:rFonts w:ascii="Times New Roman" w:hAnsi="Times New Roman" w:eastAsia="Times New Roman"/>
          <w:color w:val="1F1F1F"/>
          <w:sz w:val="24"/>
        </w:rPr>
        <w:t xml:space="preserve">The two-compartment solution reproduced in all 20 resampling runs. The minimum mapped adjusted Rand index was 0.990, minimum mapping agreement was 0.9998 and the minimum state median Jaccard index was 0.991. </w:t>
      </w:r>
      <w:r>
        <w:rPr>
          <w:rFonts w:ascii="Courier New" w:hAnsi="Courier New" w:eastAsia="Courier New"/>
          <w:color w:val="1F1F1F"/>
          <w:sz w:val="23"/>
        </w:rPr>
        <w:t>B_ASC</w:t>
      </w:r>
      <w:r>
        <w:rPr>
          <w:rFonts w:ascii="Times New Roman" w:hAnsi="Times New Roman" w:eastAsia="Times New Roman"/>
          <w:color w:val="1F1F1F"/>
          <w:sz w:val="24"/>
        </w:rPr>
        <w:t xml:space="preserve"> identity was independently supported by DERL3, JCHAIN, MZB1, TNFRSF17 and XBP1. These results authorize broad conventional-B and antibody-secreting compartments, but not hard naive, memory or atypical publication subtypes.</w:t>
      </w:r>
    </w:p>
    <w:p>
      <w:pPr>
        <w:pStyle w:val="Heading2"/>
      </w:pPr>
      <w:r>
        <w:rPr>
          <w:rFonts w:ascii="Times New Roman" w:hAnsi="Times New Roman" w:eastAsia="Times New Roman"/>
          <w:color w:val="1F1F1F"/>
          <w:sz w:val="24"/>
        </w:rPr>
        <w:t>B_ASC composition is secondary rather than the central disease signal</w:t>
      </w:r>
    </w:p>
    <w:p>
      <w:pPr>
        <w:widowControl/>
      </w:pPr>
      <w:r>
        <w:rPr>
          <w:rFonts w:ascii="Times New Roman" w:hAnsi="Times New Roman" w:eastAsia="Times New Roman"/>
          <w:color w:val="1F1F1F"/>
          <w:sz w:val="24"/>
        </w:rPr>
        <w:t xml:space="preserve">Protected outcomes were joined only after the two-compartment freeze. Composition was estimated at the sample-cohort level, with a minimum of 50 eligible B cells per stratum and no cell-level disease test. In the primary processing-cohort-4 contrast, the conditional odds ratio for </w:t>
      </w:r>
      <w:r>
        <w:rPr>
          <w:rFonts w:ascii="Courier New" w:hAnsi="Courier New" w:eastAsia="Courier New"/>
          <w:color w:val="1F1F1F"/>
          <w:sz w:val="23"/>
        </w:rPr>
        <w:t>B_ASC</w:t>
      </w:r>
      <w:r>
        <w:rPr>
          <w:rFonts w:ascii="Times New Roman" w:hAnsi="Times New Roman" w:eastAsia="Times New Roman"/>
          <w:color w:val="1F1F1F"/>
          <w:sz w:val="24"/>
        </w:rPr>
        <w:t xml:space="preserve"> relative abundance was 0.947 (95% confidence interval 0.636-1.410; P=0.787). Adjusted fractions were 1.61% in controls and 1.52% in managed SLE. The HC1 sandwich audit was concordant (95% confidence interval 0.651-1.376; P=0.774), and all 90 leave-one-sample-out estimates retained the same direction without generating statistical support.</w:t>
      </w:r>
    </w:p>
    <w:p>
      <w:pPr>
        <w:widowControl/>
      </w:pPr>
      <w:r>
        <w:rPr>
          <w:rFonts w:ascii="Times New Roman" w:hAnsi="Times New Roman" w:eastAsia="Times New Roman"/>
          <w:color w:val="1F1F1F"/>
          <w:sz w:val="24"/>
        </w:rPr>
        <w:t xml:space="preserve">The internal validation estimate was also below one (odds ratio 0.772), as was the explicit donor-nonoverlap estimate (odds ratio 0.591; n=53), but neither converted the null primary result into a central composition claim. A secondary flare contrast was positive (odds ratio 2.303; nominal P=0.0282) but did not survive the frozen three-contrast correction (q=0.0845). Accordingly, abundance results provide context for the transcriptional analysis and a transparent negative boundary, not evidence for a generally expanded </w:t>
      </w:r>
      <w:r>
        <w:rPr>
          <w:rFonts w:ascii="Courier New" w:hAnsi="Courier New" w:eastAsia="Courier New"/>
          <w:color w:val="1F1F1F"/>
          <w:sz w:val="23"/>
        </w:rPr>
        <w:t>B_ASC</w:t>
      </w:r>
      <w:r>
        <w:rPr>
          <w:rFonts w:ascii="Times New Roman" w:hAnsi="Times New Roman" w:eastAsia="Times New Roman"/>
          <w:color w:val="1F1F1F"/>
          <w:sz w:val="24"/>
        </w:rPr>
        <w:t xml:space="preserve"> compartment.</w:t>
      </w:r>
    </w:p>
    <w:p>
      <w:pPr>
        <w:pStyle w:val="Heading2"/>
      </w:pPr>
      <w:r>
        <w:rPr>
          <w:rFonts w:ascii="Times New Roman" w:hAnsi="Times New Roman" w:eastAsia="Times New Roman"/>
          <w:color w:val="1F1F1F"/>
          <w:sz w:val="24"/>
        </w:rPr>
        <w:t>Within-B_CONV transcription identifies a reproducible IFN/ISG program</w:t>
      </w:r>
    </w:p>
    <w:p>
      <w:pPr>
        <w:widowControl/>
      </w:pPr>
      <w:r>
        <w:rPr>
          <w:rFonts w:ascii="Times New Roman" w:hAnsi="Times New Roman" w:eastAsia="Times New Roman"/>
          <w:color w:val="1F1F1F"/>
          <w:sz w:val="24"/>
        </w:rPr>
        <w:t xml:space="preserve">Raw counts were aggregated into sample-cohort </w:t>
      </w:r>
      <w:r>
        <w:rPr>
          <w:rFonts w:ascii="Courier New" w:hAnsi="Courier New" w:eastAsia="Courier New"/>
          <w:color w:val="1F1F1F"/>
          <w:sz w:val="23"/>
        </w:rPr>
        <w:t>B_CONV</w:t>
      </w:r>
      <w:r>
        <w:rPr>
          <w:rFonts w:ascii="Times New Roman" w:hAnsi="Times New Roman" w:eastAsia="Times New Roman"/>
          <w:color w:val="1F1F1F"/>
          <w:sz w:val="24"/>
        </w:rPr>
        <w:t xml:space="preserve"> pseudobulks after technical library contributions from the same stratum were combined. One source-defined managed-SLE composition stratum contained 44 </w:t>
      </w:r>
      <w:r>
        <w:rPr>
          <w:rFonts w:ascii="Courier New" w:hAnsi="Courier New" w:eastAsia="Courier New"/>
          <w:color w:val="1F1F1F"/>
          <w:sz w:val="23"/>
        </w:rPr>
        <w:t>B_CONV</w:t>
      </w:r>
      <w:r>
        <w:rPr>
          <w:rFonts w:ascii="Times New Roman" w:hAnsi="Times New Roman" w:eastAsia="Times New Roman"/>
          <w:color w:val="1F1F1F"/>
          <w:sz w:val="24"/>
        </w:rPr>
        <w:t xml:space="preserve"> cells after compartment assignment and therefore did not meet the prespecified 50-cell </w:t>
      </w:r>
      <w:r>
        <w:rPr>
          <w:rFonts w:ascii="Courier New" w:hAnsi="Courier New" w:eastAsia="Courier New"/>
          <w:color w:val="1F1F1F"/>
          <w:sz w:val="23"/>
        </w:rPr>
        <w:t>B_CONV</w:t>
      </w:r>
      <w:r>
        <w:rPr>
          <w:rFonts w:ascii="Times New Roman" w:hAnsi="Times New Roman" w:eastAsia="Times New Roman"/>
          <w:color w:val="1F1F1F"/>
          <w:sz w:val="24"/>
        </w:rPr>
        <w:t xml:space="preserve"> threshold for transcriptional analysis. The primary analysis consequently included 89 pseudobulks, comprising 43 reference and 46 SLE strata, and retained 59,873,385 UMI counts. Gene-level inference used TMM normalization, </w:t>
      </w:r>
      <w:r>
        <w:rPr>
          <w:rFonts w:ascii="Courier New" w:hAnsi="Courier New" w:eastAsia="Courier New"/>
          <w:color w:val="1F1F1F"/>
          <w:sz w:val="23"/>
        </w:rPr>
        <w:t>filterByExpr</w:t>
      </w:r>
      <w:r>
        <w:rPr>
          <w:rFonts w:ascii="Times New Roman" w:hAnsi="Times New Roman" w:eastAsia="Times New Roman"/>
          <w:color w:val="1F1F1F"/>
          <w:sz w:val="24"/>
        </w:rPr>
        <w:t>, robust edgeR quasi-likelihood models and Benjamini-Hochberg correction within each contrast. A separately frozen four-program family was tested from TMM log-counts-per-million values using positive-minus-negative standardized scores and HC3 uncertainty.</w:t>
      </w:r>
    </w:p>
    <w:p>
      <w:pPr>
        <w:widowControl/>
      </w:pPr>
      <w:r>
        <w:rPr>
          <w:rFonts w:ascii="Times New Roman" w:hAnsi="Times New Roman" w:eastAsia="Times New Roman"/>
          <w:color w:val="1F1F1F"/>
          <w:sz w:val="24"/>
        </w:rPr>
        <w:t>The prespecified IFN/ISG program was higher in SLE in the primary contrast (effect 0.837, 95% confidence interval 0.525-1.148; q=2.98 x 10^-6). The effect was positive at 20- and 100-cell support thresholds, after residual-doublet-risk calls were excluded, and in all 89 leave-one-sample-out fits. Ranked-gene evidence was coherent, with all ten tested genes in the expected arm direction and competitive enrichment at approximately q=2 x 10^-6. Leading genes included USP18, IFI44L, EPSTI1, IFIT3, MX1, IFI6, OAS2, ISG15 and STAT1.</w:t>
      </w:r>
    </w:p>
    <w:p>
      <w:pPr>
        <w:widowControl/>
      </w:pPr>
      <w:r>
        <w:rPr>
          <w:rFonts w:ascii="Times New Roman" w:hAnsi="Times New Roman" w:eastAsia="Times New Roman"/>
          <w:color w:val="1F1F1F"/>
          <w:sz w:val="24"/>
        </w:rPr>
        <w:t>The IFN/ISG program was also higher in the full internal GSE174188 validation contrast (effect 0.856; q=0.00462) and in the prespecified donor-nonoverlap subset (effect 1.086; q=3.61 x 10^-4). These strata belong to the same accession and are therefore described as internal replication, not an independent cohort.</w:t>
      </w:r>
    </w:p>
    <w:p>
      <w:pPr>
        <w:widowControl/>
      </w:pPr>
      <w:r>
        <w:rPr>
          <w:rFonts w:ascii="Times New Roman" w:hAnsi="Times New Roman" w:eastAsia="Times New Roman"/>
          <w:color w:val="1F1F1F"/>
          <w:sz w:val="24"/>
        </w:rPr>
        <w:t>Two other frozen programs provided more limited GSE174188 context. The naive-to-memory axis was lower in the primary SLE contrast (effect -0.541; q=0.0213), and the APC/HLA program was higher (effect 0.268; q=0.0213), but neither had multiplicity-supported internal validation. The atypical/low-naive program was null in the primary contrast (effect -0.057; q=0.748). These axes are not co-equal with IFN/ISG and were not used to redefine the identity compartment.</w:t>
      </w:r>
    </w:p>
    <w:p>
      <w:pPr>
        <w:pStyle w:val="Heading2"/>
      </w:pPr>
      <w:r>
        <w:rPr>
          <w:rFonts w:ascii="Times New Roman" w:hAnsi="Times New Roman" w:eastAsia="Times New Roman"/>
          <w:color w:val="1F1F1F"/>
          <w:sz w:val="24"/>
        </w:rPr>
        <w:t>Independent GSE135779 analysis replicates IFN remodeling but not a genome-wide state</w:t>
      </w:r>
    </w:p>
    <w:p>
      <w:pPr>
        <w:widowControl/>
      </w:pPr>
      <w:r>
        <w:rPr>
          <w:rFonts w:ascii="Times New Roman" w:hAnsi="Times New Roman" w:eastAsia="Times New Roman"/>
          <w:color w:val="1F1F1F"/>
          <w:sz w:val="24"/>
        </w:rPr>
        <w:t>GSE135779 source matrices and metadata were audited before any disease effect was calculated. The prespecified external mapping allowed only a broad conventional-B analog constructed from source B-cell labels; hard naive-memory identities were not transferred. Matrix import and edgeR behavior were qualified with count-conservation checks and synthetic null and signal data before external disease effects were estimated.</w:t>
      </w:r>
    </w:p>
    <w:p>
      <w:pPr>
        <w:widowControl/>
      </w:pPr>
      <w:r>
        <w:rPr>
          <w:rFonts w:ascii="Times New Roman" w:hAnsi="Times New Roman" w:eastAsia="Times New Roman"/>
          <w:color w:val="1F1F1F"/>
          <w:sz w:val="24"/>
        </w:rPr>
        <w:t>The primary childhood analysis included 43 donors (11 controls and 32 SLE) with at least 50 mapped cells per donor. The frozen IFN/ISG program was higher in SLE (effect 1.042, 95% confidence interval 0.681-1.402; q=2.98 x 10^-6). The combined childhood-adult analysis included 54 donors (16 controls and 38 SLE) and yielded a similar estimate (effect 0.996, 95% confidence interval 0.655-1.337; q=1.31 x 10^-6). Results remained positive at minimum support thresholds of 20 (effect 0.965; q=6.75 x 10^-7) and 100 cells (effect 0.939; q=4.06 x 10^-6).</w:t>
      </w:r>
    </w:p>
    <w:p>
      <w:pPr>
        <w:widowControl/>
      </w:pPr>
      <w:r>
        <w:rPr>
          <w:rFonts w:ascii="Times New Roman" w:hAnsi="Times New Roman" w:eastAsia="Times New Roman"/>
          <w:color w:val="1F1F1F"/>
          <w:sz w:val="24"/>
        </w:rPr>
        <w:t>The adult-only estimate was positive (effect 0.968) but imprecise (95% confidence interval -0.123 to 2.060; q=0.291) because it contained five controls and six SLE donors. It is therefore directionally compatible rather than confirmatory. Across 43 childhood donor-deletion fits, IFN/ISG effects ranged from 0.987 to 1.094. Omitting each of the eight source B-cell labels in turn retained the same 43 donors and produced effects from 1.019 to 1.051, excluding dependence on a single source label.</w:t>
      </w:r>
    </w:p>
    <w:p>
      <w:pPr>
        <w:widowControl/>
      </w:pPr>
      <w:r>
        <w:rPr>
          <w:rFonts w:ascii="Times New Roman" w:hAnsi="Times New Roman" w:eastAsia="Times New Roman"/>
          <w:color w:val="1F1F1F"/>
          <w:sz w:val="24"/>
        </w:rPr>
        <w:t>Specificity analyses separated the IFN signal from several alternative explanations. In the childhood contrast, the platelet/ambient, ASC/UPR and pan-B control effects were 0.049, 0.221 and -0.232, respectively, compared with 1.042 for IFN/ISG. All 12 available frozen IFN-arm genes were positive, and ranked enrichment had a camera FDR of 1.85 x 10^-7. Ten IFN genes were jointly tested in the primary GSE174188 and childhood GSE135779 analyses, and all ten were positive in both.</w:t>
      </w:r>
    </w:p>
    <w:p>
      <w:pPr>
        <w:widowControl/>
      </w:pPr>
      <w:r>
        <w:rPr>
          <w:rFonts w:ascii="Times New Roman" w:hAnsi="Times New Roman" w:eastAsia="Times New Roman"/>
          <w:color w:val="1F1F1F"/>
          <w:sz w:val="24"/>
        </w:rPr>
        <w:t>This coherence did not extend across the complete tested transcriptome. Among 4,410 shared tested genes, cross-dataset effect correlation was only Spearman rho=0.026. Thus, the evidence supports program-specific IFN replication across heterogeneous cohorts, not a globally shared disease transcriptome. The GSE135779 atypical/low-naive score was positive (effect 1.191; q=5.10 x 10^-4), but the corresponding GSE174188 result was null; it is retained as an external-only observation rather than replication. Conversely, the GSE174188 naive-to-memory and APC/HLA signals were null externally.</w:t>
      </w:r>
    </w:p>
    <w:p>
      <w:pPr>
        <w:pStyle w:val="Heading2"/>
      </w:pPr>
      <w:r>
        <w:rPr>
          <w:rFonts w:ascii="Times New Roman" w:hAnsi="Times New Roman" w:eastAsia="Times New Roman"/>
          <w:color w:val="1F1F1F"/>
          <w:sz w:val="24"/>
        </w:rPr>
        <w:t>Prespecified regulatory and perturbational evidence converges on the IFN response</w:t>
      </w:r>
    </w:p>
    <w:p>
      <w:pPr>
        <w:widowControl/>
      </w:pPr>
      <w:r>
        <w:rPr>
          <w:rFonts w:ascii="Times New Roman" w:hAnsi="Times New Roman" w:eastAsia="Times New Roman"/>
          <w:color w:val="1F1F1F"/>
          <w:sz w:val="24"/>
        </w:rPr>
        <w:t>We next tested whether the replicated transcriptional program was accompanied by a prespecified regulatory pattern. The regulator analysis was specified before regulator effects were inspected and included four IFN-centred regulators (STAT1, STAT2, IRF7 and IRF9), four proliferation specificity comparators (E2F1, FOXM1, MYC and MYBL2), and the three confirmatory contrasts used above. Signed CollecTRI target activity was evaluated in one global Benjamini-Hochberg family of 24 tests.</w:t>
      </w:r>
    </w:p>
    <w:p>
      <w:pPr>
        <w:widowControl/>
      </w:pPr>
      <w:r>
        <w:rPr>
          <w:rFonts w:ascii="Times New Roman" w:hAnsi="Times New Roman" w:eastAsia="Times New Roman"/>
          <w:color w:val="1F1F1F"/>
          <w:sz w:val="24"/>
        </w:rPr>
        <w:t>STAT1 and STAT2 activity estimates were positive and globally significant in the GSE174188 primary, GSE174188 donor-nonoverlap and GSE135779 childhood contrasts. At least three of the four IFN-centred regulators were positive in every contrast, with no globally significant opposite-direction IFN regulator. The proliferation specificity comparators did not reproduce a positive globally significant pattern across all three contrasts. Every leave-one-target estimate for the core STAT1 and STAT2 models retained the positive direction, and each core model remained positive in all 100 deterministic 80%-target resamples. These diagnostics argue against a result driven by one target gene or a small target subset.</w:t>
      </w:r>
    </w:p>
    <w:p>
      <w:pPr>
        <w:widowControl/>
      </w:pPr>
      <w:r>
        <w:rPr>
          <w:rFonts w:ascii="Times New Roman" w:hAnsi="Times New Roman" w:eastAsia="Times New Roman"/>
          <w:color w:val="1F1F1F"/>
          <w:sz w:val="24"/>
        </w:rPr>
        <w:t>The correlation-aware analysis reproduced the exact frozen matched-target counts for all six core tests (STAT1: 98, 129 and 161; STAT2: 14, 19 and 20). CAMERA retained the expected positive direction in six of six tests and passed the six-test BH threshold in five. The exception was discovery-cohort STAT2 (estimated inter-gene correlation 0.1225; CAMERA q=0.1355), for which FRY remained positive and significant (q=4.91 x 10^-5). FRY was positive and BH-significant in all six core tests. Thus, the sensitivity supports cross-contrast convergence while explicitly precluding a claim that every core test was significant under CAMERA.</w:t>
      </w:r>
    </w:p>
    <w:p>
      <w:pPr>
        <w:widowControl/>
      </w:pPr>
      <w:r>
        <w:rPr>
          <w:rFonts w:ascii="Times New Roman" w:hAnsi="Times New Roman" w:eastAsia="Times New Roman"/>
          <w:color w:val="1F1F1F"/>
          <w:sz w:val="24"/>
        </w:rPr>
        <w:t>Two independently defined response layers were directionally concordant. The exact MSigDB Hallmark interferon-alpha response set M5911 was positively enriched in all three ranked contrasts (normalized enrichment scores 3.187, 3.050 and 3.527; 10,000 gene-label permutations per contrast). In GSE23307 primary human B cells exposed to IFN-beta, the frozen 12-gene positive arm increased for all 12 genes in each of two healthy donors. Mean paired log2(x+1) effects were 3.294 and 3.666. No inferential P value was calculated for this two-donor experiment.</w:t>
      </w:r>
    </w:p>
    <w:p>
      <w:pPr>
        <w:widowControl/>
      </w:pPr>
      <w:r>
        <w:rPr>
          <w:rFonts w:ascii="Times New Roman" w:hAnsi="Times New Roman" w:eastAsia="Times New Roman"/>
          <w:color w:val="1F1F1F"/>
          <w:sz w:val="24"/>
        </w:rPr>
        <w:t>The three layers therefore support an IFN-centred regulatory interpretation of the replicated program, but they do not identify a unique initiating ligand or establish causation in SLE. CollecTRI activity is inferred from observational disease-ranked statistics, M5911 is a response signature, and GSE23307 is a small ex vivo perturbation in healthy-donor B cells.</w:t>
      </w:r>
    </w:p>
    <w:p>
      <w:pPr>
        <w:pStyle w:val="Heading1"/>
      </w:pPr>
      <w:r>
        <w:rPr>
          <w:rFonts w:ascii="Times New Roman" w:hAnsi="Times New Roman" w:eastAsia="Times New Roman"/>
          <w:color w:val="1F1F1F"/>
          <w:sz w:val="28"/>
        </w:rPr>
        <w:t>Discussion</w:t>
      </w:r>
    </w:p>
    <w:p>
      <w:pPr>
        <w:widowControl/>
      </w:pPr>
      <w:r>
        <w:rPr>
          <w:rFonts w:ascii="Times New Roman" w:hAnsi="Times New Roman" w:eastAsia="Times New Roman"/>
          <w:color w:val="1F1F1F"/>
          <w:sz w:val="24"/>
        </w:rPr>
        <w:t xml:space="preserve">This study identifies a reproducible level of SLE B-cell biology by separating identity, composition and transcription before testing disease effects. Fine-grained hard B-cell state assignments did not meet the prespecified disease-blind resampling criteria, and the resulting model deliberately stopped at two broad compartments. Within that permissible scope, primary </w:t>
      </w:r>
      <w:r>
        <w:rPr>
          <w:rFonts w:ascii="Courier New" w:hAnsi="Courier New" w:eastAsia="Courier New"/>
          <w:color w:val="1F1F1F"/>
          <w:sz w:val="23"/>
        </w:rPr>
        <w:t>B_ASC</w:t>
      </w:r>
      <w:r>
        <w:rPr>
          <w:rFonts w:ascii="Times New Roman" w:hAnsi="Times New Roman" w:eastAsia="Times New Roman"/>
          <w:color w:val="1F1F1F"/>
          <w:sz w:val="24"/>
        </w:rPr>
        <w:t xml:space="preserve"> relative abundance did not differ between managed SLE and controls. The central result instead arose within </w:t>
      </w:r>
      <w:r>
        <w:rPr>
          <w:rFonts w:ascii="Courier New" w:hAnsi="Courier New" w:eastAsia="Courier New"/>
          <w:color w:val="1F1F1F"/>
          <w:sz w:val="23"/>
        </w:rPr>
        <w:t>B_CONV</w:t>
      </w:r>
      <w:r>
        <w:rPr>
          <w:rFonts w:ascii="Times New Roman" w:hAnsi="Times New Roman" w:eastAsia="Times New Roman"/>
          <w:color w:val="1F1F1F"/>
          <w:sz w:val="24"/>
        </w:rPr>
        <w:t>: a frozen IFN/ISG program was supported in the primary GSE174188 contrast, an internal donor-nonoverlap contrast and independent GSE135779.</w:t>
      </w:r>
    </w:p>
    <w:p>
      <w:pPr>
        <w:widowControl/>
      </w:pPr>
      <w:r>
        <w:rPr>
          <w:rFonts w:ascii="Times New Roman" w:hAnsi="Times New Roman" w:eastAsia="Times New Roman"/>
          <w:color w:val="1F1F1F"/>
          <w:sz w:val="24"/>
        </w:rPr>
        <w:t>This result refines, rather than challenges, established SLE interferon biology. Prior studies show IFN heterogeneity across molecular endotypes [18,20,23], link activated B-cell and plasmablast phenotypes to specific disease contexts [19,22,24], and demonstrate that several interferon classes can promote B-cell activation or plasma-cell differentiation [25,30]. In particular, the reported plasmablast expansion in patients with higher activity and Sm/RNP autoantibodies [19] is compatible with our secondary positive flare estimate and our null primary managed-SLE estimate. The contribution here is the identification of the layer that survives a disease-blind, biological-replicate-aware and cross-cohort validation sequence, not a claim that interferon involvement itself is newly discovered. Persistent IFN activity in antimalarial-treated patients with low disease activity stratified by polygenic risk [31] is likewise consistent with context-dependent interferon remodeling; because neither cohort nor frozen program is shared, it remains external biological context rather than independent validation of our effect. Recent functional evidence links type I interferon exposure to B-cell activation and DN2 differentiation in SLE [32]. This supports the biological plausibility of interferon-responsive fine states, while our resampling result addresses a different question: whether a disease-blind hard fine-grained partition is stable enough to serve as a disease-inference unit in a heterogeneous public dataset.</w:t>
      </w:r>
    </w:p>
    <w:p>
      <w:pPr>
        <w:widowControl/>
      </w:pPr>
      <w:r>
        <w:rPr>
          <w:rFonts w:ascii="Times New Roman" w:hAnsi="Times New Roman" w:eastAsia="Times New Roman"/>
          <w:color w:val="1F1F1F"/>
          <w:sz w:val="24"/>
        </w:rPr>
        <w:t>The low cross-dataset genome-wide correlation is not a contradiction of the frozen program result. The two accessions differ in age structure, source annotation, sample processing, gene universe and available covariates. A broad correlation asks whether thousands of effect estimates agree despite these differences; the frozen program test asks whether a prespecified coherent biological response has the same direction and statistical support. The data support the latter and explicitly reject the stronger transcriptome-wide interpretation.</w:t>
      </w:r>
    </w:p>
    <w:p>
      <w:pPr>
        <w:widowControl/>
      </w:pPr>
      <w:r>
        <w:rPr>
          <w:rFonts w:ascii="Times New Roman" w:hAnsi="Times New Roman" w:eastAsia="Times New Roman"/>
          <w:color w:val="1F1F1F"/>
          <w:sz w:val="24"/>
        </w:rPr>
        <w:t>The regulator analysis adds convergence without changing that inferential level. The primary ULM family found positive, globally corrected STAT1 and STAT2 activity in all three contrasts, and target-deletion and target-resampling diagnostics preserved direction. The correlation-aware analysis was directionally concordant in every core test, but CAMERA supported five of six tests after correction while FRY supported six of six; discovery-cohort STAT2 was the transparent CAMERA exception. Because these tests reuse the same contrasts and regulons, they are robustness analyses rather than new biological replication. M5911 enrichment and paired IFN-beta exposure provide evidence from resources that were not constructed from the SLE contrasts. Together, these layers make an IFN-centred regulatory framing more credible than a gene-list description alone, while not proving that STAT1 or STAT2 initiated the in vivo state, distinguishing a unique IFN ligand, or demonstrating direct TF binding.</w:t>
      </w:r>
    </w:p>
    <w:p>
      <w:pPr>
        <w:widowControl/>
      </w:pPr>
      <w:r>
        <w:rPr>
          <w:rFonts w:ascii="Times New Roman" w:hAnsi="Times New Roman" w:eastAsia="Times New Roman"/>
          <w:color w:val="1F1F1F"/>
          <w:sz w:val="24"/>
        </w:rPr>
        <w:t xml:space="preserve">The results also narrow several common SLE B-cell narratives. The naive-to-memory and APC/HLA axes are useful internal context but do not independently reproduce in GSE135779. The external atypical/low-naive signal cannot be labelled replication because it was absent in GSE174188. Likewise, stable broad </w:t>
      </w:r>
      <w:r>
        <w:rPr>
          <w:rFonts w:ascii="Courier New" w:hAnsi="Courier New" w:eastAsia="Courier New"/>
          <w:color w:val="1F1F1F"/>
          <w:sz w:val="23"/>
        </w:rPr>
        <w:t>B_CONV</w:t>
      </w:r>
      <w:r>
        <w:rPr>
          <w:rFonts w:ascii="Times New Roman" w:hAnsi="Times New Roman" w:eastAsia="Times New Roman"/>
          <w:color w:val="1F1F1F"/>
          <w:sz w:val="24"/>
        </w:rPr>
        <w:t xml:space="preserve"> identity does not establish a discrete IFN-high subtype: interferon is treated as a continuous within-compartment program. The primary composition result remains a transparent negative boundary rather than being displaced by the secondary flare estimate.</w:t>
      </w:r>
    </w:p>
    <w:p>
      <w:pPr>
        <w:widowControl/>
      </w:pPr>
      <w:r>
        <w:rPr>
          <w:rFonts w:ascii="Times New Roman" w:hAnsi="Times New Roman" w:eastAsia="Times New Roman"/>
          <w:color w:val="1F1F1F"/>
          <w:sz w:val="24"/>
        </w:rPr>
        <w:t>From a precision-medicine perspective, the continuous B_CONV IFN/ISG score could eventually contribute to molecular stratification or pharmacodynamic monitoring, particularly where bulk or compositional readouts obscure a cell-intrinsic response. The present study does not establish a predictive biomarker, treatment-selection rule, clinical cutoff or patient benefit. Those uses require prospective treatment-annotated cohorts, longitudinal sampling, assay calibration and prespecified evaluation of discrimination and clinical utility.</w:t>
      </w:r>
    </w:p>
    <w:p>
      <w:pPr>
        <w:widowControl/>
      </w:pPr>
      <w:r>
        <w:rPr>
          <w:rFonts w:ascii="Times New Roman" w:hAnsi="Times New Roman" w:eastAsia="Times New Roman"/>
          <w:color w:val="1F1F1F"/>
          <w:sz w:val="24"/>
        </w:rPr>
        <w:t>The analysis has limitations. Public metadata did not provide a common set of sex, treatment and detailed clinical covariates across all contrasts. The adult external stratum was small, and two adult metadata donors lacked corresponding source matrices. The GSE174188 internal validation is not independent of the accession even after donor overlap is removed. The conventional-B mapping in GSE135779 relies on source labels and supports a broad analog rather than exact identity transfer. CollecTRI target activity depends on curated prior knowledge and gene coverage; the correlation-aware sensitivity does not create independent data, and one discovery STAT2 CAMERA test did not pass correction. The GSE23307 perturbation contains only two donors and was therefore interpreted descriptively. Direct binding, matched patient perturbation and prospective clinical validation remain outside the current evidence.</w:t>
      </w:r>
    </w:p>
    <w:p>
      <w:pPr>
        <w:pStyle w:val="Heading1"/>
      </w:pPr>
      <w:r>
        <w:rPr>
          <w:rFonts w:ascii="Times New Roman" w:hAnsi="Times New Roman" w:eastAsia="Times New Roman"/>
          <w:color w:val="1F1F1F"/>
          <w:sz w:val="28"/>
        </w:rPr>
        <w:t>Conclusions</w:t>
      </w:r>
    </w:p>
    <w:p>
      <w:pPr>
        <w:widowControl/>
      </w:pPr>
      <w:r>
        <w:rPr>
          <w:rFonts w:ascii="Times New Roman" w:hAnsi="Times New Roman" w:eastAsia="Times New Roman"/>
          <w:color w:val="1F1F1F"/>
          <w:sz w:val="24"/>
        </w:rPr>
        <w:t>The defensible advance is specific: SLE is associated with an independently replicated IFN transcriptional shift within a disease-blind broad conventional-B compartment. Prespecified regulator activity, correlation-aware sensitivity testing, external response-set enrichment and a small healthy-donor perturbation provide convergent but non-causal support. The study identifies which remodeling layer survives sequential design and validation constraints; it does not establish a discrete subtype, universal plasmablast expansion, causal regulator or unique upstream ligand.</w:t>
      </w:r>
    </w:p>
    <w:p>
      <w:pPr>
        <w:pStyle w:val="Heading1"/>
      </w:pPr>
      <w:r>
        <w:rPr>
          <w:rFonts w:ascii="Times New Roman" w:hAnsi="Times New Roman" w:eastAsia="Times New Roman"/>
          <w:color w:val="1F1F1F"/>
          <w:sz w:val="28"/>
        </w:rPr>
        <w:t>List of abbreviations</w:t>
      </w:r>
    </w:p>
    <w:p>
      <w:pPr>
        <w:widowControl/>
      </w:pPr>
      <w:r>
        <w:rPr>
          <w:rFonts w:ascii="Times New Roman" w:hAnsi="Times New Roman" w:eastAsia="Times New Roman"/>
          <w:b/>
          <w:color w:val="1F1F1F"/>
          <w:sz w:val="24"/>
        </w:rPr>
        <w:t>ASC:</w:t>
      </w:r>
      <w:r>
        <w:rPr>
          <w:rFonts w:ascii="Times New Roman" w:hAnsi="Times New Roman" w:eastAsia="Times New Roman"/>
          <w:color w:val="1F1F1F"/>
          <w:sz w:val="24"/>
        </w:rPr>
        <w:t xml:space="preserve"> antibody-secreting cell; </w:t>
      </w:r>
      <w:r>
        <w:rPr>
          <w:rFonts w:ascii="Times New Roman" w:hAnsi="Times New Roman" w:eastAsia="Times New Roman"/>
          <w:b/>
          <w:color w:val="1F1F1F"/>
          <w:sz w:val="24"/>
        </w:rPr>
        <w:t>CAMERA:</w:t>
      </w:r>
      <w:r>
        <w:rPr>
          <w:rFonts w:ascii="Times New Roman" w:hAnsi="Times New Roman" w:eastAsia="Times New Roman"/>
          <w:color w:val="1F1F1F"/>
          <w:sz w:val="24"/>
        </w:rPr>
        <w:t xml:space="preserve"> correlation-adjusted mean-rank gene-set test; </w:t>
      </w:r>
      <w:r>
        <w:rPr>
          <w:rFonts w:ascii="Times New Roman" w:hAnsi="Times New Roman" w:eastAsia="Times New Roman"/>
          <w:b/>
          <w:color w:val="1F1F1F"/>
          <w:sz w:val="24"/>
        </w:rPr>
        <w:t>B_ASC:</w:t>
      </w:r>
      <w:r>
        <w:rPr>
          <w:rFonts w:ascii="Times New Roman" w:hAnsi="Times New Roman" w:eastAsia="Times New Roman"/>
          <w:color w:val="1F1F1F"/>
          <w:sz w:val="24"/>
        </w:rPr>
        <w:t xml:space="preserve"> disease-blind antibody-secreting-cell compartment; </w:t>
      </w:r>
      <w:r>
        <w:rPr>
          <w:rFonts w:ascii="Times New Roman" w:hAnsi="Times New Roman" w:eastAsia="Times New Roman"/>
          <w:b/>
          <w:color w:val="1F1F1F"/>
          <w:sz w:val="24"/>
        </w:rPr>
        <w:t>B_CONV:</w:t>
      </w:r>
      <w:r>
        <w:rPr>
          <w:rFonts w:ascii="Times New Roman" w:hAnsi="Times New Roman" w:eastAsia="Times New Roman"/>
          <w:color w:val="1F1F1F"/>
          <w:sz w:val="24"/>
        </w:rPr>
        <w:t xml:space="preserve"> disease-blind broad conventional-B compartment; </w:t>
      </w:r>
      <w:r>
        <w:rPr>
          <w:rFonts w:ascii="Times New Roman" w:hAnsi="Times New Roman" w:eastAsia="Times New Roman"/>
          <w:b/>
          <w:color w:val="1F1F1F"/>
          <w:sz w:val="24"/>
        </w:rPr>
        <w:t>FDR:</w:t>
      </w:r>
      <w:r>
        <w:rPr>
          <w:rFonts w:ascii="Times New Roman" w:hAnsi="Times New Roman" w:eastAsia="Times New Roman"/>
          <w:color w:val="1F1F1F"/>
          <w:sz w:val="24"/>
        </w:rPr>
        <w:t xml:space="preserve"> false discovery rate; </w:t>
      </w:r>
      <w:r>
        <w:rPr>
          <w:rFonts w:ascii="Times New Roman" w:hAnsi="Times New Roman" w:eastAsia="Times New Roman"/>
          <w:b/>
          <w:color w:val="1F1F1F"/>
          <w:sz w:val="24"/>
        </w:rPr>
        <w:t>FRY:</w:t>
      </w:r>
      <w:r>
        <w:rPr>
          <w:rFonts w:ascii="Times New Roman" w:hAnsi="Times New Roman" w:eastAsia="Times New Roman"/>
          <w:color w:val="1F1F1F"/>
          <w:sz w:val="24"/>
        </w:rPr>
        <w:t xml:space="preserve"> fast rotation gene-set test; </w:t>
      </w:r>
      <w:r>
        <w:rPr>
          <w:rFonts w:ascii="Times New Roman" w:hAnsi="Times New Roman" w:eastAsia="Times New Roman"/>
          <w:b/>
          <w:color w:val="1F1F1F"/>
          <w:sz w:val="24"/>
        </w:rPr>
        <w:t>GEO:</w:t>
      </w:r>
      <w:r>
        <w:rPr>
          <w:rFonts w:ascii="Times New Roman" w:hAnsi="Times New Roman" w:eastAsia="Times New Roman"/>
          <w:color w:val="1F1F1F"/>
          <w:sz w:val="24"/>
        </w:rPr>
        <w:t xml:space="preserve"> Gene Expression Omnibus; </w:t>
      </w:r>
      <w:r>
        <w:rPr>
          <w:rFonts w:ascii="Times New Roman" w:hAnsi="Times New Roman" w:eastAsia="Times New Roman"/>
          <w:b/>
          <w:color w:val="1F1F1F"/>
          <w:sz w:val="24"/>
        </w:rPr>
        <w:t>HC1/HC3:</w:t>
      </w:r>
      <w:r>
        <w:rPr>
          <w:rFonts w:ascii="Times New Roman" w:hAnsi="Times New Roman" w:eastAsia="Times New Roman"/>
          <w:color w:val="1F1F1F"/>
          <w:sz w:val="24"/>
        </w:rPr>
        <w:t xml:space="preserve"> heteroskedasticity-consistent covariance estimators; </w:t>
      </w:r>
      <w:r>
        <w:rPr>
          <w:rFonts w:ascii="Times New Roman" w:hAnsi="Times New Roman" w:eastAsia="Times New Roman"/>
          <w:b/>
          <w:color w:val="1F1F1F"/>
          <w:sz w:val="24"/>
        </w:rPr>
        <w:t>IFN:</w:t>
      </w:r>
      <w:r>
        <w:rPr>
          <w:rFonts w:ascii="Times New Roman" w:hAnsi="Times New Roman" w:eastAsia="Times New Roman"/>
          <w:color w:val="1F1F1F"/>
          <w:sz w:val="24"/>
        </w:rPr>
        <w:t xml:space="preserve"> interferon; </w:t>
      </w:r>
      <w:r>
        <w:rPr>
          <w:rFonts w:ascii="Times New Roman" w:hAnsi="Times New Roman" w:eastAsia="Times New Roman"/>
          <w:b/>
          <w:color w:val="1F1F1F"/>
          <w:sz w:val="24"/>
        </w:rPr>
        <w:t>ISG:</w:t>
      </w:r>
      <w:r>
        <w:rPr>
          <w:rFonts w:ascii="Times New Roman" w:hAnsi="Times New Roman" w:eastAsia="Times New Roman"/>
          <w:color w:val="1F1F1F"/>
          <w:sz w:val="24"/>
        </w:rPr>
        <w:t xml:space="preserve"> interferon-stimulated gene; </w:t>
      </w:r>
      <w:r>
        <w:rPr>
          <w:rFonts w:ascii="Times New Roman" w:hAnsi="Times New Roman" w:eastAsia="Times New Roman"/>
          <w:b/>
          <w:color w:val="1F1F1F"/>
          <w:sz w:val="24"/>
        </w:rPr>
        <w:t>NES:</w:t>
      </w:r>
      <w:r>
        <w:rPr>
          <w:rFonts w:ascii="Times New Roman" w:hAnsi="Times New Roman" w:eastAsia="Times New Roman"/>
          <w:color w:val="1F1F1F"/>
          <w:sz w:val="24"/>
        </w:rPr>
        <w:t xml:space="preserve"> normalized enrichment score; </w:t>
      </w:r>
      <w:r>
        <w:rPr>
          <w:rFonts w:ascii="Times New Roman" w:hAnsi="Times New Roman" w:eastAsia="Times New Roman"/>
          <w:b/>
          <w:color w:val="1F1F1F"/>
          <w:sz w:val="24"/>
        </w:rPr>
        <w:t>SLE:</w:t>
      </w:r>
      <w:r>
        <w:rPr>
          <w:rFonts w:ascii="Times New Roman" w:hAnsi="Times New Roman" w:eastAsia="Times New Roman"/>
          <w:color w:val="1F1F1F"/>
          <w:sz w:val="24"/>
        </w:rPr>
        <w:t xml:space="preserve"> systemic lupus erythematosus; </w:t>
      </w:r>
      <w:r>
        <w:rPr>
          <w:rFonts w:ascii="Times New Roman" w:hAnsi="Times New Roman" w:eastAsia="Times New Roman"/>
          <w:b/>
          <w:color w:val="1F1F1F"/>
          <w:sz w:val="24"/>
        </w:rPr>
        <w:t>TF:</w:t>
      </w:r>
      <w:r>
        <w:rPr>
          <w:rFonts w:ascii="Times New Roman" w:hAnsi="Times New Roman" w:eastAsia="Times New Roman"/>
          <w:color w:val="1F1F1F"/>
          <w:sz w:val="24"/>
        </w:rPr>
        <w:t xml:space="preserve"> transcription factor; </w:t>
      </w:r>
      <w:r>
        <w:rPr>
          <w:rFonts w:ascii="Times New Roman" w:hAnsi="Times New Roman" w:eastAsia="Times New Roman"/>
          <w:b/>
          <w:color w:val="1F1F1F"/>
          <w:sz w:val="24"/>
        </w:rPr>
        <w:t>TMM:</w:t>
      </w:r>
      <w:r>
        <w:rPr>
          <w:rFonts w:ascii="Times New Roman" w:hAnsi="Times New Roman" w:eastAsia="Times New Roman"/>
          <w:color w:val="1F1F1F"/>
          <w:sz w:val="24"/>
        </w:rPr>
        <w:t xml:space="preserve"> trimmed mean of M values; </w:t>
      </w:r>
      <w:r>
        <w:rPr>
          <w:rFonts w:ascii="Times New Roman" w:hAnsi="Times New Roman" w:eastAsia="Times New Roman"/>
          <w:b/>
          <w:color w:val="1F1F1F"/>
          <w:sz w:val="24"/>
        </w:rPr>
        <w:t>UMI:</w:t>
      </w:r>
      <w:r>
        <w:rPr>
          <w:rFonts w:ascii="Times New Roman" w:hAnsi="Times New Roman" w:eastAsia="Times New Roman"/>
          <w:color w:val="1F1F1F"/>
          <w:sz w:val="24"/>
        </w:rPr>
        <w:t xml:space="preserve"> unique molecular identifier.</w:t>
      </w:r>
    </w:p>
    <w:p>
      <w:pPr>
        <w:pStyle w:val="Heading1"/>
      </w:pPr>
      <w:r>
        <w:rPr>
          <w:rFonts w:ascii="Times New Roman" w:hAnsi="Times New Roman" w:eastAsia="Times New Roman"/>
          <w:color w:val="1F1F1F"/>
          <w:sz w:val="28"/>
        </w:rPr>
        <w:t>Declarations</w:t>
      </w:r>
    </w:p>
    <w:p>
      <w:pPr>
        <w:pStyle w:val="Heading2"/>
      </w:pPr>
      <w:r>
        <w:rPr>
          <w:rFonts w:ascii="Times New Roman" w:hAnsi="Times New Roman" w:eastAsia="Times New Roman"/>
          <w:color w:val="1F1F1F"/>
          <w:sz w:val="24"/>
        </w:rPr>
        <w:t>Ethics approval and consent to participate</w:t>
      </w:r>
    </w:p>
    <w:p>
      <w:pPr>
        <w:widowControl/>
      </w:pPr>
      <w:r>
        <w:rPr>
          <w:rFonts w:ascii="Times New Roman" w:hAnsi="Times New Roman" w:eastAsia="Times New Roman"/>
          <w:color w:val="1F1F1F"/>
          <w:sz w:val="24"/>
        </w:rPr>
        <w:t>This secondary study used only publicly available, de-identified human transcriptomic datasets and involved no participant recruitment, intervention or collection of new specimens. No additional ethics approval was required for this secondary analysis. Ethics approval and consent procedures for the source studies are reported in the original publications [1,2,13].</w:t>
      </w:r>
    </w:p>
    <w:p>
      <w:pPr>
        <w:pStyle w:val="Heading2"/>
      </w:pPr>
      <w:r>
        <w:rPr>
          <w:rFonts w:ascii="Times New Roman" w:hAnsi="Times New Roman" w:eastAsia="Times New Roman"/>
          <w:color w:val="1F1F1F"/>
          <w:sz w:val="24"/>
        </w:rPr>
        <w:t>Consent for publication</w:t>
      </w:r>
    </w:p>
    <w:p>
      <w:pPr>
        <w:widowControl/>
      </w:pPr>
      <w:r>
        <w:rPr>
          <w:rFonts w:ascii="Times New Roman" w:hAnsi="Times New Roman" w:eastAsia="Times New Roman"/>
          <w:color w:val="1F1F1F"/>
          <w:sz w:val="24"/>
        </w:rPr>
        <w:t>Not applicable; the manuscript contains no identifiable individual participant information.</w:t>
      </w:r>
    </w:p>
    <w:p>
      <w:pPr>
        <w:pStyle w:val="Heading2"/>
      </w:pPr>
      <w:r>
        <w:rPr>
          <w:rFonts w:ascii="Times New Roman" w:hAnsi="Times New Roman" w:eastAsia="Times New Roman"/>
          <w:color w:val="1F1F1F"/>
          <w:sz w:val="24"/>
        </w:rPr>
        <w:t>Availability of data and materials</w:t>
      </w:r>
    </w:p>
    <w:p>
      <w:pPr>
        <w:widowControl/>
      </w:pPr>
      <w:r>
        <w:rPr>
          <w:rFonts w:ascii="Times New Roman" w:hAnsi="Times New Roman" w:eastAsia="Times New Roman"/>
          <w:color w:val="1F1F1F"/>
          <w:sz w:val="24"/>
        </w:rPr>
        <w:t>The datasets analysed are publicly available through NCBI GEO under GSE174188, GSE135779 and GSE23307 [14-16]. Version-controlled analysis code, machine-readable decisions, derived source-data tables and SHA-256 provenance records are available at https://github.com/1209433622cz-maker/sle-bcell-remodeling and in the immutable archive at doi:10.5281/zenodo.22086892 [17]. Original project code is licensed under the MIT License; original manuscript text, composite figures, project documentation and project-generated derived source-data tables are licensed under CC BY 4.0. These licences do not relicense GEO, CELLxGENE or other third-party source material. Large recomputable matrices are not duplicated from their source repositories.</w:t>
      </w:r>
    </w:p>
    <w:p>
      <w:pPr>
        <w:pStyle w:val="Heading2"/>
      </w:pPr>
      <w:r>
        <w:rPr>
          <w:rFonts w:ascii="Times New Roman" w:hAnsi="Times New Roman" w:eastAsia="Times New Roman"/>
          <w:color w:val="1F1F1F"/>
          <w:sz w:val="24"/>
        </w:rPr>
        <w:t>Competing interests</w:t>
      </w:r>
    </w:p>
    <w:p>
      <w:pPr>
        <w:widowControl/>
      </w:pPr>
      <w:r>
        <w:rPr>
          <w:rFonts w:ascii="Times New Roman" w:hAnsi="Times New Roman" w:eastAsia="Times New Roman"/>
          <w:color w:val="1F1F1F"/>
          <w:sz w:val="24"/>
        </w:rPr>
        <w:t>The authors declare that they have no competing interests.</w:t>
      </w:r>
    </w:p>
    <w:p>
      <w:pPr>
        <w:pStyle w:val="Heading2"/>
      </w:pPr>
      <w:r>
        <w:rPr>
          <w:rFonts w:ascii="Times New Roman" w:hAnsi="Times New Roman" w:eastAsia="Times New Roman"/>
          <w:color w:val="1F1F1F"/>
          <w:sz w:val="24"/>
        </w:rPr>
        <w:t>Funding</w:t>
      </w:r>
    </w:p>
    <w:p>
      <w:pPr>
        <w:widowControl/>
      </w:pPr>
      <w:r>
        <w:rPr>
          <w:rFonts w:ascii="Times New Roman" w:hAnsi="Times New Roman" w:eastAsia="Times New Roman"/>
          <w:color w:val="1F1F1F"/>
          <w:sz w:val="24"/>
        </w:rPr>
        <w:t>This research received no specific funding.</w:t>
      </w:r>
    </w:p>
    <w:p>
      <w:pPr>
        <w:pStyle w:val="Heading2"/>
      </w:pPr>
      <w:r>
        <w:rPr>
          <w:rFonts w:ascii="Times New Roman" w:hAnsi="Times New Roman" w:eastAsia="Times New Roman"/>
          <w:color w:val="1F1F1F"/>
          <w:sz w:val="24"/>
        </w:rPr>
        <w:t>Authors' contributions</w:t>
      </w:r>
    </w:p>
    <w:p>
      <w:pPr>
        <w:widowControl/>
      </w:pPr>
      <w:r>
        <w:rPr>
          <w:rFonts w:ascii="Times New Roman" w:hAnsi="Times New Roman" w:eastAsia="Times New Roman"/>
          <w:color w:val="1F1F1F"/>
          <w:sz w:val="24"/>
        </w:rPr>
        <w:t>ZC: Conceptualization, Data curation, Formal analysis, Investigation, Methodology, Software, Visualization, Writing - original draft. TQ: Conceptualization, Methodology, Project administration, Validation, Writing - review and editing. Both authors read and approved the final manuscript, supplementary information, figures, source data and cover letter.</w:t>
      </w:r>
    </w:p>
    <w:p>
      <w:pPr>
        <w:pStyle w:val="Heading2"/>
      </w:pPr>
      <w:r>
        <w:rPr>
          <w:rFonts w:ascii="Times New Roman" w:hAnsi="Times New Roman" w:eastAsia="Times New Roman"/>
          <w:color w:val="1F1F1F"/>
          <w:sz w:val="24"/>
        </w:rPr>
        <w:t>Acknowledgements</w:t>
      </w:r>
    </w:p>
    <w:p>
      <w:pPr>
        <w:widowControl/>
      </w:pPr>
      <w:r>
        <w:rPr>
          <w:rFonts w:ascii="Times New Roman" w:hAnsi="Times New Roman" w:eastAsia="Times New Roman"/>
          <w:color w:val="1F1F1F"/>
          <w:sz w:val="24"/>
        </w:rPr>
        <w:t>Not applicable.</w:t>
      </w:r>
    </w:p>
    <w:p>
      <w:pPr>
        <w:pStyle w:val="Heading2"/>
      </w:pPr>
      <w:r>
        <w:rPr>
          <w:rFonts w:ascii="Times New Roman" w:hAnsi="Times New Roman" w:eastAsia="Times New Roman"/>
          <w:color w:val="1F1F1F"/>
          <w:sz w:val="24"/>
        </w:rPr>
        <w:t>Use of generative artificial intelligence</w:t>
      </w:r>
    </w:p>
    <w:p>
      <w:pPr>
        <w:widowControl/>
      </w:pPr>
      <w:r>
        <w:rPr>
          <w:rFonts w:ascii="Times New Roman" w:hAnsi="Times New Roman" w:eastAsia="Times New Roman"/>
          <w:color w:val="1F1F1F"/>
          <w:sz w:val="24"/>
        </w:rPr>
        <w:t>Generative artificial intelligence tools, including OpenAI Codex and ChatGPT, were used to assist with code development, reproducibility checks, language editing and preparation of submission materials. The authors reviewed and verified the analyses, code, text, references, figures and source data, take full responsibility for the submitted work, and did not use generative artificial intelligence to create or alter primary research data.</w:t>
      </w:r>
    </w:p>
    <w:p>
      <w:pPr>
        <w:pStyle w:val="Heading1"/>
      </w:pPr>
      <w:r>
        <w:rPr>
          <w:rFonts w:ascii="Times New Roman" w:hAnsi="Times New Roman" w:eastAsia="Times New Roman"/>
          <w:color w:val="1F1F1F"/>
          <w:sz w:val="28"/>
        </w:rPr>
        <w:t>Additional files</w:t>
      </w:r>
    </w:p>
    <w:p>
      <w:pPr>
        <w:widowControl/>
      </w:pPr>
      <w:r>
        <w:rPr>
          <w:rFonts w:ascii="Times New Roman" w:hAnsi="Times New Roman" w:eastAsia="Times New Roman"/>
          <w:b/>
          <w:color w:val="1F1F1F"/>
          <w:sz w:val="24"/>
        </w:rPr>
        <w:t>Additional file 1 (.docx):</w:t>
      </w:r>
      <w:r>
        <w:rPr>
          <w:rFonts w:ascii="Times New Roman" w:hAnsi="Times New Roman" w:eastAsia="Times New Roman"/>
          <w:color w:val="1F1F1F"/>
          <w:sz w:val="24"/>
        </w:rPr>
        <w:t xml:space="preserve"> Supplementary information. Extended governance, evidence-boundary and reproducibility tables supporting the disease-blind reconstruction, sample-level composition, pseudobulk replication and regulatory analyses.</w:t>
      </w:r>
    </w:p>
    <w:p>
      <w:pPr>
        <w:widowControl/>
      </w:pPr>
      <w:r>
        <w:rPr>
          <w:rFonts w:ascii="Times New Roman" w:hAnsi="Times New Roman" w:eastAsia="Times New Roman"/>
          <w:b/>
          <w:color w:val="1F1F1F"/>
          <w:sz w:val="24"/>
        </w:rPr>
        <w:t>Additional file 2 (.zip):</w:t>
      </w:r>
      <w:r>
        <w:rPr>
          <w:rFonts w:ascii="Times New Roman" w:hAnsi="Times New Roman" w:eastAsia="Times New Roman"/>
          <w:color w:val="1F1F1F"/>
          <w:sz w:val="24"/>
        </w:rPr>
        <w:t xml:space="preserve"> Figure source data. Machine-readable CSV files underlying Figures 1-5, with a SHA-256 manifest.</w:t>
      </w:r>
    </w:p>
    <w:p>
      <w:pPr>
        <w:widowControl/>
      </w:pPr>
      <w:r>
        <w:rPr>
          <w:rFonts w:ascii="Times New Roman" w:hAnsi="Times New Roman" w:eastAsia="Times New Roman"/>
          <w:b/>
          <w:color w:val="1F1F1F"/>
          <w:sz w:val="24"/>
        </w:rPr>
        <w:t>Additional file 3 (.zip):</w:t>
      </w:r>
      <w:r>
        <w:rPr>
          <w:rFonts w:ascii="Times New Roman" w:hAnsi="Times New Roman" w:eastAsia="Times New Roman"/>
          <w:color w:val="1F1F1F"/>
          <w:sz w:val="24"/>
        </w:rPr>
        <w:t xml:space="preserve"> Correlation-aware regulator sensitivity. Six STAT1/STAT2 CAMERA and FRY tests, the qualified decision record and a SHA-256 manifest.</w:t>
      </w:r>
    </w:p>
    <w:p>
      <w:pPr>
        <w:widowControl/>
      </w:pPr>
      <w:r>
        <w:rPr>
          <w:rFonts w:ascii="Times New Roman" w:hAnsi="Times New Roman" w:eastAsia="Times New Roman"/>
          <w:b/>
          <w:color w:val="1F1F1F"/>
          <w:sz w:val="24"/>
        </w:rPr>
        <w:t>Additional file 4 (.zip):</w:t>
      </w:r>
      <w:r>
        <w:rPr>
          <w:rFonts w:ascii="Times New Roman" w:hAnsi="Times New Roman" w:eastAsia="Times New Roman"/>
          <w:color w:val="1F1F1F"/>
          <w:sz w:val="24"/>
        </w:rPr>
        <w:t xml:space="preserve"> Full statistical results. Complete gene-level results for 12 frozen model branches, composition and program tables, regulator and orthogonal results, sanitized design matrices, the statistical-family map and SHA-256 provenance manifests.</w:t>
      </w:r>
    </w:p>
    <w:p>
      <w:pPr>
        <w:pStyle w:val="Heading1"/>
      </w:pPr>
      <w:r>
        <w:rPr>
          <w:rFonts w:ascii="Times New Roman" w:hAnsi="Times New Roman" w:eastAsia="Times New Roman"/>
          <w:color w:val="1F1F1F"/>
          <w:sz w:val="28"/>
        </w:rPr>
        <w:t>Figure legends</w:t>
      </w:r>
    </w:p>
    <w:p>
      <w:pPr>
        <w:pStyle w:val="Heading2"/>
      </w:pPr>
      <w:r>
        <w:rPr>
          <w:rFonts w:ascii="Times New Roman" w:hAnsi="Times New Roman" w:eastAsia="Times New Roman"/>
          <w:color w:val="1F1F1F"/>
          <w:sz w:val="24"/>
        </w:rPr>
        <w:t>Figure 1 | Disease-blind reconstruction defines the permissible identity scope</w:t>
      </w:r>
    </w:p>
    <w:p>
      <w:pPr>
        <w:widowControl/>
      </w:pPr>
      <w:r>
        <w:rPr>
          <w:rFonts w:ascii="Times New Roman" w:hAnsi="Times New Roman" w:eastAsia="Times New Roman"/>
          <w:b/>
          <w:color w:val="1F1F1F"/>
          <w:sz w:val="24"/>
        </w:rPr>
        <w:t>a,</w:t>
      </w:r>
      <w:r>
        <w:rPr>
          <w:rFonts w:ascii="Times New Roman" w:hAnsi="Times New Roman" w:eastAsia="Times New Roman"/>
          <w:color w:val="1F1F1F"/>
          <w:sz w:val="24"/>
        </w:rPr>
        <w:t xml:space="preserve"> Audited GSE174188 hierarchy, hard-quality-control retention and separation of disease-blind identity reconstruction from sample-level outcome inference. </w:t>
      </w:r>
      <w:r>
        <w:rPr>
          <w:rFonts w:ascii="Times New Roman" w:hAnsi="Times New Roman" w:eastAsia="Times New Roman"/>
          <w:b/>
          <w:color w:val="1F1F1F"/>
          <w:sz w:val="24"/>
        </w:rPr>
        <w:t>b,</w:t>
      </w:r>
      <w:r>
        <w:rPr>
          <w:rFonts w:ascii="Times New Roman" w:hAnsi="Times New Roman" w:eastAsia="Times New Roman"/>
          <w:color w:val="1F1F1F"/>
          <w:sz w:val="24"/>
        </w:rPr>
        <w:t xml:space="preserve"> Median mapped adjusted Rand index and minimum-to-median interval for each candidate identity policy across 20 resamples; policies are discrete alternatives and are not connected as a trajectory. The short dashed segment applies only to the two-compartment minimum-ARI criterion of 0.90. </w:t>
      </w:r>
      <w:r>
        <w:rPr>
          <w:rFonts w:ascii="Times New Roman" w:hAnsi="Times New Roman" w:eastAsia="Times New Roman"/>
          <w:b/>
          <w:color w:val="1F1F1F"/>
          <w:sz w:val="24"/>
        </w:rPr>
        <w:t>c,</w:t>
      </w:r>
      <w:r>
        <w:rPr>
          <w:rFonts w:ascii="Times New Roman" w:hAnsi="Times New Roman" w:eastAsia="Times New Roman"/>
          <w:color w:val="1F1F1F"/>
          <w:sz w:val="24"/>
        </w:rPr>
        <w:t xml:space="preserve"> Mapped adjusted Rand index and mapping agreement in each two-compartment resampling run; the dashed horizontal guide marks the minimum mapped-ARI criterion of 0.990. </w:t>
      </w:r>
      <w:r>
        <w:rPr>
          <w:rFonts w:ascii="Times New Roman" w:hAnsi="Times New Roman" w:eastAsia="Times New Roman"/>
          <w:b/>
          <w:color w:val="1F1F1F"/>
          <w:sz w:val="24"/>
        </w:rPr>
        <w:t>d,</w:t>
      </w:r>
      <w:r>
        <w:rPr>
          <w:rFonts w:ascii="Times New Roman" w:hAnsi="Times New Roman" w:eastAsia="Times New Roman"/>
          <w:color w:val="1F1F1F"/>
          <w:sz w:val="24"/>
        </w:rPr>
        <w:t xml:space="preserve"> Minimum and median state Jaccard indices for </w:t>
      </w:r>
      <w:r>
        <w:rPr>
          <w:rFonts w:ascii="Courier New" w:hAnsi="Courier New" w:eastAsia="Courier New"/>
          <w:color w:val="1F1F1F"/>
          <w:sz w:val="23"/>
        </w:rPr>
        <w:t>B_CONV</w:t>
      </w:r>
      <w:r>
        <w:rPr>
          <w:rFonts w:ascii="Times New Roman" w:hAnsi="Times New Roman" w:eastAsia="Times New Roman"/>
          <w:color w:val="1F1F1F"/>
          <w:sz w:val="24"/>
        </w:rPr>
        <w:t xml:space="preserve"> and </w:t>
      </w:r>
      <w:r>
        <w:rPr>
          <w:rFonts w:ascii="Courier New" w:hAnsi="Courier New" w:eastAsia="Courier New"/>
          <w:color w:val="1F1F1F"/>
          <w:sz w:val="23"/>
        </w:rPr>
        <w:t>B_ASC</w:t>
      </w:r>
      <w:r>
        <w:rPr>
          <w:rFonts w:ascii="Times New Roman" w:hAnsi="Times New Roman" w:eastAsia="Times New Roman"/>
          <w:color w:val="1F1F1F"/>
          <w:sz w:val="24"/>
        </w:rPr>
        <w:t>, with frozen antibody-secreting marker support; the dashed vertical guide marks the minimum state-median Jaccard criterion of 0.95. Cell-level summaries define identity stability and are not disease replicates.</w:t>
      </w:r>
    </w:p>
    <w:p>
      <w:pPr>
        <w:pStyle w:val="Heading2"/>
      </w:pPr>
      <w:r>
        <w:rPr>
          <w:rFonts w:ascii="Times New Roman" w:hAnsi="Times New Roman" w:eastAsia="Times New Roman"/>
          <w:color w:val="1F1F1F"/>
          <w:sz w:val="24"/>
        </w:rPr>
        <w:t>Figure 2 | Sample-level analysis does not support primary B_ASC enrichment</w:t>
      </w:r>
    </w:p>
    <w:p>
      <w:pPr>
        <w:widowControl/>
      </w:pPr>
      <w:r>
        <w:rPr>
          <w:rFonts w:ascii="Times New Roman" w:hAnsi="Times New Roman" w:eastAsia="Times New Roman"/>
          <w:b/>
          <w:color w:val="1F1F1F"/>
          <w:sz w:val="24"/>
        </w:rPr>
        <w:t>a,</w:t>
      </w:r>
      <w:r>
        <w:rPr>
          <w:rFonts w:ascii="Times New Roman" w:hAnsi="Times New Roman" w:eastAsia="Times New Roman"/>
          <w:color w:val="1F1F1F"/>
          <w:sz w:val="24"/>
        </w:rPr>
        <w:t xml:space="preserve"> Observed </w:t>
      </w:r>
      <w:r>
        <w:rPr>
          <w:rFonts w:ascii="Courier New" w:hAnsi="Courier New" w:eastAsia="Courier New"/>
          <w:color w:val="1F1F1F"/>
          <w:sz w:val="23"/>
        </w:rPr>
        <w:t>B_ASC</w:t>
      </w:r>
      <w:r>
        <w:rPr>
          <w:rFonts w:ascii="Times New Roman" w:hAnsi="Times New Roman" w:eastAsia="Times New Roman"/>
          <w:color w:val="1F1F1F"/>
          <w:sz w:val="24"/>
        </w:rPr>
        <w:t xml:space="preserve"> fractions for exactly 43 control and 47 managed-SLE sample-cohort strata in the primary composition contrast; diamonds and bars show adjusted fractions and 95% confidence intervals. </w:t>
      </w:r>
      <w:r>
        <w:rPr>
          <w:rFonts w:ascii="Times New Roman" w:hAnsi="Times New Roman" w:eastAsia="Times New Roman"/>
          <w:b/>
          <w:color w:val="1F1F1F"/>
          <w:sz w:val="24"/>
        </w:rPr>
        <w:t>b,</w:t>
      </w:r>
      <w:r>
        <w:rPr>
          <w:rFonts w:ascii="Times New Roman" w:hAnsi="Times New Roman" w:eastAsia="Times New Roman"/>
          <w:color w:val="1F1F1F"/>
          <w:sz w:val="24"/>
        </w:rPr>
        <w:t xml:space="preserve"> Primary, internal, donor-nonoverlap and secondary flare conditional odds ratios. </w:t>
      </w:r>
      <w:r>
        <w:rPr>
          <w:rFonts w:ascii="Times New Roman" w:hAnsi="Times New Roman" w:eastAsia="Times New Roman"/>
          <w:b/>
          <w:color w:val="1F1F1F"/>
          <w:sz w:val="24"/>
        </w:rPr>
        <w:t>c,</w:t>
      </w:r>
      <w:r>
        <w:rPr>
          <w:rFonts w:ascii="Times New Roman" w:hAnsi="Times New Roman" w:eastAsia="Times New Roman"/>
          <w:color w:val="1F1F1F"/>
          <w:sz w:val="24"/>
        </w:rPr>
        <w:t xml:space="preserve"> Frozen primary estimate and mandatory minimum-cell, explicit non-B and residual-doublet sensitivities. </w:t>
      </w:r>
      <w:r>
        <w:rPr>
          <w:rFonts w:ascii="Times New Roman" w:hAnsi="Times New Roman" w:eastAsia="Times New Roman"/>
          <w:b/>
          <w:color w:val="1F1F1F"/>
          <w:sz w:val="24"/>
        </w:rPr>
        <w:t>d,</w:t>
      </w:r>
      <w:r>
        <w:rPr>
          <w:rFonts w:ascii="Times New Roman" w:hAnsi="Times New Roman" w:eastAsia="Times New Roman"/>
          <w:color w:val="1F1F1F"/>
          <w:sz w:val="24"/>
        </w:rPr>
        <w:t xml:space="preserve"> Conditional odds ratios after each of 90 primary sample deletions; the horizontal line is the full estimate. The flare contrast is secondary and did not pass the frozen three-contrast false-discovery-rate rule.</w:t>
      </w:r>
    </w:p>
    <w:p>
      <w:pPr>
        <w:pStyle w:val="Heading2"/>
      </w:pPr>
      <w:r>
        <w:rPr>
          <w:rFonts w:ascii="Times New Roman" w:hAnsi="Times New Roman" w:eastAsia="Times New Roman"/>
          <w:color w:val="1F1F1F"/>
          <w:sz w:val="24"/>
        </w:rPr>
        <w:t>Figure 3 | GSE174188 B_CONV transcription prioritizes IFN/ISG remodeling</w:t>
      </w:r>
    </w:p>
    <w:p>
      <w:pPr>
        <w:widowControl/>
      </w:pPr>
      <w:r>
        <w:rPr>
          <w:rFonts w:ascii="Times New Roman" w:hAnsi="Times New Roman" w:eastAsia="Times New Roman"/>
          <w:b/>
          <w:color w:val="1F1F1F"/>
          <w:sz w:val="24"/>
        </w:rPr>
        <w:t>a,</w:t>
      </w:r>
      <w:r>
        <w:rPr>
          <w:rFonts w:ascii="Times New Roman" w:hAnsi="Times New Roman" w:eastAsia="Times New Roman"/>
          <w:color w:val="1F1F1F"/>
          <w:sz w:val="24"/>
        </w:rPr>
        <w:t xml:space="preserve"> Effects and 95% confidence intervals for the four frozen programs in the primary contrast. </w:t>
      </w:r>
      <w:r>
        <w:rPr>
          <w:rFonts w:ascii="Times New Roman" w:hAnsi="Times New Roman" w:eastAsia="Times New Roman"/>
          <w:b/>
          <w:color w:val="1F1F1F"/>
          <w:sz w:val="24"/>
        </w:rPr>
        <w:t>b,</w:t>
      </w:r>
      <w:r>
        <w:rPr>
          <w:rFonts w:ascii="Times New Roman" w:hAnsi="Times New Roman" w:eastAsia="Times New Roman"/>
          <w:color w:val="1F1F1F"/>
          <w:sz w:val="24"/>
        </w:rPr>
        <w:t xml:space="preserve"> IFN/ISG estimates across primary support thresholds, residual-risk restriction, internal replication, donor-nonoverlap internal replication and the secondary flare contrast. </w:t>
      </w:r>
      <w:r>
        <w:rPr>
          <w:rFonts w:ascii="Times New Roman" w:hAnsi="Times New Roman" w:eastAsia="Times New Roman"/>
          <w:b/>
          <w:color w:val="1F1F1F"/>
          <w:sz w:val="24"/>
        </w:rPr>
        <w:t>c,</w:t>
      </w:r>
      <w:r>
        <w:rPr>
          <w:rFonts w:ascii="Times New Roman" w:hAnsi="Times New Roman" w:eastAsia="Times New Roman"/>
          <w:color w:val="1F1F1F"/>
          <w:sz w:val="24"/>
        </w:rPr>
        <w:t xml:space="preserve"> Gene-level log2 fold changes for the frozen IFN positive arm in the primary and donor-nonoverlap contrasts. A dagger marks genes not tested at gene level in either contrast; a double dagger marks genes not tested in the primary contrast. Filtered values are absent rather than zero or imputed. </w:t>
      </w:r>
      <w:r>
        <w:rPr>
          <w:rFonts w:ascii="Times New Roman" w:hAnsi="Times New Roman" w:eastAsia="Times New Roman"/>
          <w:b/>
          <w:color w:val="1F1F1F"/>
          <w:sz w:val="24"/>
        </w:rPr>
        <w:t>d,</w:t>
      </w:r>
      <w:r>
        <w:rPr>
          <w:rFonts w:ascii="Times New Roman" w:hAnsi="Times New Roman" w:eastAsia="Times New Roman"/>
          <w:color w:val="1F1F1F"/>
          <w:sz w:val="24"/>
        </w:rPr>
        <w:t xml:space="preserve"> IFN/ISG and prespecified platelet/ambient, ASC/UPR and pan-B specificity families in the primary and donor-nonoverlap contrasts. Program intervals use HC3 uncertainty; confirmatory q values use the frozen four-program family.</w:t>
      </w:r>
    </w:p>
    <w:p>
      <w:pPr>
        <w:pStyle w:val="Heading2"/>
      </w:pPr>
      <w:r>
        <w:rPr>
          <w:rFonts w:ascii="Times New Roman" w:hAnsi="Times New Roman" w:eastAsia="Times New Roman"/>
          <w:color w:val="1F1F1F"/>
          <w:sz w:val="24"/>
        </w:rPr>
        <w:t>Figure 4 | GSE135779 independently replicates the frozen IFN/ISG program</w:t>
      </w:r>
    </w:p>
    <w:p>
      <w:pPr>
        <w:widowControl/>
      </w:pPr>
      <w:r>
        <w:rPr>
          <w:rFonts w:ascii="Times New Roman" w:hAnsi="Times New Roman" w:eastAsia="Times New Roman"/>
          <w:b/>
          <w:color w:val="1F1F1F"/>
          <w:sz w:val="24"/>
        </w:rPr>
        <w:t>a,</w:t>
      </w:r>
      <w:r>
        <w:rPr>
          <w:rFonts w:ascii="Times New Roman" w:hAnsi="Times New Roman" w:eastAsia="Times New Roman"/>
          <w:color w:val="1F1F1F"/>
          <w:sz w:val="24"/>
        </w:rPr>
        <w:t xml:space="preserve"> Standardized IFN/ISG effects for childhood, combined, adult and support-threshold external analyses. </w:t>
      </w:r>
      <w:r>
        <w:rPr>
          <w:rFonts w:ascii="Times New Roman" w:hAnsi="Times New Roman" w:eastAsia="Times New Roman"/>
          <w:b/>
          <w:color w:val="1F1F1F"/>
          <w:sz w:val="24"/>
        </w:rPr>
        <w:t>b,</w:t>
      </w:r>
      <w:r>
        <w:rPr>
          <w:rFonts w:ascii="Times New Roman" w:hAnsi="Times New Roman" w:eastAsia="Times New Roman"/>
          <w:color w:val="1F1F1F"/>
          <w:sz w:val="24"/>
        </w:rPr>
        <w:t xml:space="preserve"> Standardized discovery and internal GSE174188 effects beside independent GSE135779 effects. </w:t>
      </w:r>
      <w:r>
        <w:rPr>
          <w:rFonts w:ascii="Times New Roman" w:hAnsi="Times New Roman" w:eastAsia="Times New Roman"/>
          <w:b/>
          <w:color w:val="1F1F1F"/>
          <w:sz w:val="24"/>
        </w:rPr>
        <w:t>c,</w:t>
      </w:r>
      <w:r>
        <w:rPr>
          <w:rFonts w:ascii="Times New Roman" w:hAnsi="Times New Roman" w:eastAsia="Times New Roman"/>
          <w:color w:val="1F1F1F"/>
          <w:sz w:val="24"/>
        </w:rPr>
        <w:t xml:space="preserve"> Effects for 4,410 genes tested in both primary datasets, with ten jointly tested frozen IFN genes highlighted; all ten were positive in both datasets despite Spearman rho=0.026 genome-wide. </w:t>
      </w:r>
      <w:r>
        <w:rPr>
          <w:rFonts w:ascii="Times New Roman" w:hAnsi="Times New Roman" w:eastAsia="Times New Roman"/>
          <w:b/>
          <w:color w:val="1F1F1F"/>
          <w:sz w:val="24"/>
        </w:rPr>
        <w:t>d,</w:t>
      </w:r>
      <w:r>
        <w:rPr>
          <w:rFonts w:ascii="Times New Roman" w:hAnsi="Times New Roman" w:eastAsia="Times New Roman"/>
          <w:color w:val="1F1F1F"/>
          <w:sz w:val="24"/>
        </w:rPr>
        <w:t xml:space="preserve"> Full childhood estimate, range across 43 donor deletions and estimates after omission of each of eight source B-cell labels. Sequential display labels 1-8 correspond to the original source codes retained in Figure 4 Source Data. Donors are the biological units in GSE135779; the adult estimate is directional only.</w:t>
      </w:r>
    </w:p>
    <w:p>
      <w:pPr>
        <w:pStyle w:val="Heading2"/>
      </w:pPr>
      <w:r>
        <w:rPr>
          <w:rFonts w:ascii="Times New Roman" w:hAnsi="Times New Roman" w:eastAsia="Times New Roman"/>
          <w:color w:val="1F1F1F"/>
          <w:sz w:val="24"/>
        </w:rPr>
        <w:t>Figure 5 | Convergent observational evidence supports IFN-centred regulation</w:t>
      </w:r>
    </w:p>
    <w:p>
      <w:pPr>
        <w:widowControl/>
      </w:pPr>
      <w:r>
        <w:rPr>
          <w:rFonts w:ascii="Times New Roman" w:hAnsi="Times New Roman" w:eastAsia="Times New Roman"/>
          <w:b/>
          <w:color w:val="1F1F1F"/>
          <w:sz w:val="24"/>
        </w:rPr>
        <w:t>a,</w:t>
      </w:r>
      <w:r>
        <w:rPr>
          <w:rFonts w:ascii="Times New Roman" w:hAnsi="Times New Roman" w:eastAsia="Times New Roman"/>
          <w:color w:val="1F1F1F"/>
          <w:sz w:val="24"/>
        </w:rPr>
        <w:t xml:space="preserve"> Parallel evidence architecture linking replicated IFN/ISG remodeling to a prespecified three-contrast, eight-regulator branch and a separate orthogonal-response branch without implying causal ordering. </w:t>
      </w:r>
      <w:r>
        <w:rPr>
          <w:rFonts w:ascii="Times New Roman" w:hAnsi="Times New Roman" w:eastAsia="Times New Roman"/>
          <w:b/>
          <w:color w:val="1F1F1F"/>
          <w:sz w:val="24"/>
        </w:rPr>
        <w:t>b,</w:t>
      </w:r>
      <w:r>
        <w:rPr>
          <w:rFonts w:ascii="Times New Roman" w:hAnsi="Times New Roman" w:eastAsia="Times New Roman"/>
          <w:color w:val="1F1F1F"/>
          <w:sz w:val="24"/>
        </w:rPr>
        <w:t xml:space="preserve"> Core STAT1/STAT2 and extended IRF7/IRF9 CollecTRI activity slopes in the GSE174188 primary, GSE174188 donor-nonoverlap and GSE135779 childhood contrasts. </w:t>
      </w:r>
      <w:r>
        <w:rPr>
          <w:rFonts w:ascii="Times New Roman" w:hAnsi="Times New Roman" w:eastAsia="Times New Roman"/>
          <w:b/>
          <w:color w:val="1F1F1F"/>
          <w:sz w:val="24"/>
        </w:rPr>
        <w:t>c,</w:t>
      </w:r>
      <w:r>
        <w:rPr>
          <w:rFonts w:ascii="Times New Roman" w:hAnsi="Times New Roman" w:eastAsia="Times New Roman"/>
          <w:color w:val="1F1F1F"/>
          <w:sz w:val="24"/>
        </w:rPr>
        <w:t xml:space="preserve"> Prespecified E2F1, FOXM1, MYC and MYBL2 proliferation specificity comparators. Asterisks indicate global 24-test q&lt;0.05. </w:t>
      </w:r>
      <w:r>
        <w:rPr>
          <w:rFonts w:ascii="Times New Roman" w:hAnsi="Times New Roman" w:eastAsia="Times New Roman"/>
          <w:b/>
          <w:color w:val="1F1F1F"/>
          <w:sz w:val="24"/>
        </w:rPr>
        <w:t>d,</w:t>
      </w:r>
      <w:r>
        <w:rPr>
          <w:rFonts w:ascii="Times New Roman" w:hAnsi="Times New Roman" w:eastAsia="Times New Roman"/>
          <w:color w:val="1F1F1F"/>
          <w:sz w:val="24"/>
        </w:rPr>
        <w:t xml:space="preserve"> M5911 Hallmark interferon-alpha response normalized enrichment scores from 10,000 gene-label permutations per contrast. </w:t>
      </w:r>
      <w:r>
        <w:rPr>
          <w:rFonts w:ascii="Times New Roman" w:hAnsi="Times New Roman" w:eastAsia="Times New Roman"/>
          <w:b/>
          <w:color w:val="1F1F1F"/>
          <w:sz w:val="24"/>
        </w:rPr>
        <w:t>e,</w:t>
      </w:r>
      <w:r>
        <w:rPr>
          <w:rFonts w:ascii="Times New Roman" w:hAnsi="Times New Roman" w:eastAsia="Times New Roman"/>
          <w:color w:val="1F1F1F"/>
          <w:sz w:val="24"/>
        </w:rPr>
        <w:t xml:space="preserve"> Mean paired log2(x+1) effects for the 12-gene IFN positive arm after ex vivo IFN-beta exposure in primary B cells from two healthy donors; labels show positive genes. The GSE23307 panel is descriptive at n=2 and carries no inferential P value.</w:t>
      </w:r>
    </w:p>
    <w:p>
      <w:pPr>
        <w:pStyle w:val="Heading1"/>
      </w:pPr>
      <w:r>
        <w:rPr>
          <w:rFonts w:ascii="Times New Roman" w:hAnsi="Times New Roman" w:eastAsia="Times New Roman"/>
          <w:color w:val="1F1F1F"/>
          <w:sz w:val="28"/>
        </w:rPr>
        <w:t>References</w:t>
      </w:r>
    </w:p>
    <w:p>
      <w:pPr>
        <w:pStyle w:val="Reference"/>
        <w:numPr>
          <w:ilvl w:val="0"/>
          <w:numId w:val="10"/>
        </w:numPr>
      </w:pPr>
      <w:r>
        <w:rPr>
          <w:rFonts w:ascii="Times New Roman" w:hAnsi="Times New Roman" w:eastAsia="Times New Roman"/>
          <w:color w:val="1F1F1F"/>
          <w:sz w:val="24"/>
        </w:rPr>
        <w:t>Perez RK, Gordon MG, Subramaniam M, Kim MC, Hartoularos GC, Targ S, et al. Single-cell RNA-seq reveals cell type-specific molecular and genetic associations to lupus. Science. 2022;376(6589):eabf1970. doi:10.1126/science.abf1970.</w:t>
      </w:r>
    </w:p>
    <w:p>
      <w:pPr>
        <w:pStyle w:val="Reference"/>
        <w:numPr>
          <w:ilvl w:val="0"/>
          <w:numId w:val="10"/>
        </w:numPr>
      </w:pPr>
      <w:r>
        <w:rPr>
          <w:rFonts w:ascii="Times New Roman" w:hAnsi="Times New Roman" w:eastAsia="Times New Roman"/>
          <w:color w:val="1F1F1F"/>
          <w:sz w:val="24"/>
        </w:rPr>
        <w:t>Nehar-Belaid D, Hong S, Marches R, Chen G, Bolisetty M, Baisch J, et al. Mapping systemic lupus erythematosus heterogeneity at the single-cell level. Nature Immunology. 2020;21(9):1094-1106. doi:10.1038/s41590-020-0743-0.</w:t>
      </w:r>
    </w:p>
    <w:p>
      <w:pPr>
        <w:pStyle w:val="Reference"/>
        <w:numPr>
          <w:ilvl w:val="0"/>
          <w:numId w:val="10"/>
        </w:numPr>
      </w:pPr>
      <w:r>
        <w:rPr>
          <w:rFonts w:ascii="Times New Roman" w:hAnsi="Times New Roman" w:eastAsia="Times New Roman"/>
          <w:color w:val="1F1F1F"/>
          <w:sz w:val="24"/>
        </w:rPr>
        <w:t>Crowell HL, Soneson C, Germain PL, Calini D, Collin L, Raposo C, et al. muscat detects subpopulation-specific state transitions from multi-sample multi-condition single-cell transcriptomics data. Nature Communications. 2020;11(1):6077. doi:10.1038/s41467-020-19894-4.</w:t>
      </w:r>
    </w:p>
    <w:p>
      <w:pPr>
        <w:pStyle w:val="Reference"/>
        <w:numPr>
          <w:ilvl w:val="0"/>
          <w:numId w:val="10"/>
        </w:numPr>
      </w:pPr>
      <w:r>
        <w:rPr>
          <w:rFonts w:ascii="Times New Roman" w:hAnsi="Times New Roman" w:eastAsia="Times New Roman"/>
          <w:color w:val="1F1F1F"/>
          <w:sz w:val="24"/>
        </w:rPr>
        <w:t>Squair JW, Gautier M, Kathe C, Anderson MA, James ND, Hutson TH, et al. Confronting false discoveries in single-cell differential expression. Nature Communications. 2021;12(1):5692. doi:10.1038/s41467-021-25960-2.</w:t>
      </w:r>
    </w:p>
    <w:p>
      <w:pPr>
        <w:pStyle w:val="Reference"/>
        <w:numPr>
          <w:ilvl w:val="0"/>
          <w:numId w:val="10"/>
        </w:numPr>
      </w:pPr>
      <w:r>
        <w:rPr>
          <w:rFonts w:ascii="Times New Roman" w:hAnsi="Times New Roman" w:eastAsia="Times New Roman"/>
          <w:color w:val="1F1F1F"/>
          <w:sz w:val="24"/>
        </w:rPr>
        <w:t>Büttner M, Ostner J, Müller CL, Theis FJ, Schubert B. scCODA is a Bayesian model for compositional single-cell data analysis. Nature Communications. 2021;12(1):6876. doi:10.1038/s41467-021-27150-6.</w:t>
      </w:r>
    </w:p>
    <w:p>
      <w:pPr>
        <w:pStyle w:val="Reference"/>
        <w:numPr>
          <w:ilvl w:val="0"/>
          <w:numId w:val="10"/>
        </w:numPr>
      </w:pPr>
      <w:r>
        <w:rPr>
          <w:rFonts w:ascii="Times New Roman" w:hAnsi="Times New Roman" w:eastAsia="Times New Roman"/>
          <w:color w:val="1F1F1F"/>
          <w:sz w:val="24"/>
        </w:rPr>
        <w:t>Wolf FA, Angerer P, Theis FJ. SCANPY: large-scale single-cell gene expression data analysis. Genome Biology. 2018;19(1):15. doi:10.1186/s13059-017-1382-0.</w:t>
      </w:r>
    </w:p>
    <w:p>
      <w:pPr>
        <w:pStyle w:val="Reference"/>
        <w:numPr>
          <w:ilvl w:val="0"/>
          <w:numId w:val="10"/>
        </w:numPr>
      </w:pPr>
      <w:r>
        <w:rPr>
          <w:rFonts w:ascii="Times New Roman" w:hAnsi="Times New Roman" w:eastAsia="Times New Roman"/>
          <w:color w:val="1F1F1F"/>
          <w:sz w:val="24"/>
        </w:rPr>
        <w:t>Korsunsky I, Millard N, Fan J, Slowikowski K, Zhang F, Wei K, et al. Fast, sensitive and accurate integration of single-cell data with Harmony. Nature Methods. 2019;16(12):1289-1296. doi:10.1038/s41592-019-0619-0.</w:t>
      </w:r>
    </w:p>
    <w:p>
      <w:pPr>
        <w:pStyle w:val="Reference"/>
        <w:numPr>
          <w:ilvl w:val="0"/>
          <w:numId w:val="10"/>
        </w:numPr>
      </w:pPr>
      <w:r>
        <w:rPr>
          <w:rFonts w:ascii="Times New Roman" w:hAnsi="Times New Roman" w:eastAsia="Times New Roman"/>
          <w:color w:val="1F1F1F"/>
          <w:sz w:val="24"/>
        </w:rPr>
        <w:t>Traag VA, Waltman L, van Eck NJ. From Louvain to Leiden: guaranteeing well-connected communities. Scientific Reports. 2019;9(1):5233. doi:10.1038/s41598-019-41695-z.</w:t>
      </w:r>
    </w:p>
    <w:p>
      <w:pPr>
        <w:pStyle w:val="Reference"/>
        <w:numPr>
          <w:ilvl w:val="0"/>
          <w:numId w:val="10"/>
        </w:numPr>
      </w:pPr>
      <w:r>
        <w:rPr>
          <w:rFonts w:ascii="Times New Roman" w:hAnsi="Times New Roman" w:eastAsia="Times New Roman"/>
          <w:color w:val="1F1F1F"/>
          <w:sz w:val="24"/>
        </w:rPr>
        <w:t>Robinson MD, McCarthy DJ, Smyth GK. edgeR: a Bioconductor package for differential expression analysis of digital gene expression data. Bioinformatics. 2010;26(1):139-140. doi:10.1093/bioinformatics/btp616.</w:t>
      </w:r>
    </w:p>
    <w:p>
      <w:pPr>
        <w:pStyle w:val="Reference"/>
        <w:numPr>
          <w:ilvl w:val="0"/>
          <w:numId w:val="10"/>
        </w:numPr>
      </w:pPr>
      <w:r>
        <w:rPr>
          <w:rFonts w:ascii="Times New Roman" w:hAnsi="Times New Roman" w:eastAsia="Times New Roman"/>
          <w:color w:val="1F1F1F"/>
          <w:sz w:val="24"/>
        </w:rPr>
        <w:t>Badia-i-Mompel P, Vélez Santiago J, Braunger J, Geiss C, Dimitrov D, Müller-Dott S, et al. decoupleR: ensemble of computational methods to infer biological activities from omics data. Bioinformatics Advances. 2022;2(1):vbac016. doi:10.1093/bioadv/vbac016.</w:t>
      </w:r>
    </w:p>
    <w:p>
      <w:pPr>
        <w:pStyle w:val="Reference"/>
        <w:numPr>
          <w:ilvl w:val="0"/>
          <w:numId w:val="10"/>
        </w:numPr>
      </w:pPr>
      <w:r>
        <w:rPr>
          <w:rFonts w:ascii="Times New Roman" w:hAnsi="Times New Roman" w:eastAsia="Times New Roman"/>
          <w:color w:val="1F1F1F"/>
          <w:sz w:val="24"/>
        </w:rPr>
        <w:t>Müller-Dott S, Tsirvouli E, Vazquez M, Ramirez Flores RO, Badia-i-Mompel P, Fallegger R, et al. Expanding the coverage of regulons from high-confidence prior knowledge for accurate estimation of transcription factor activities. Nucleic Acids Research. 2023;51(20):10934-10949. doi:10.1093/nar/gkad841.</w:t>
      </w:r>
    </w:p>
    <w:p>
      <w:pPr>
        <w:pStyle w:val="Reference"/>
        <w:numPr>
          <w:ilvl w:val="0"/>
          <w:numId w:val="10"/>
        </w:numPr>
      </w:pPr>
      <w:r>
        <w:rPr>
          <w:rFonts w:ascii="Times New Roman" w:hAnsi="Times New Roman" w:eastAsia="Times New Roman"/>
          <w:color w:val="1F1F1F"/>
          <w:sz w:val="24"/>
        </w:rPr>
        <w:t>Liberzon A, Birger C, Thorvaldsdóttir H, Ghandi M, Mesirov JP, Tamayo P. The Molecular Signatures Database Hallmark Gene Set Collection. Cell Systems. 2015;1(6):417-425. doi:10.1016/j.cels.2015.12.004.</w:t>
      </w:r>
    </w:p>
    <w:p>
      <w:pPr>
        <w:pStyle w:val="Reference"/>
        <w:numPr>
          <w:ilvl w:val="0"/>
          <w:numId w:val="10"/>
        </w:numPr>
      </w:pPr>
      <w:r>
        <w:rPr>
          <w:rFonts w:ascii="Times New Roman" w:hAnsi="Times New Roman" w:eastAsia="Times New Roman"/>
          <w:color w:val="1F1F1F"/>
          <w:sz w:val="24"/>
        </w:rPr>
        <w:t>van Boxel-Dezaire AHH, Zula JA, Xu Y, Ransohoff RM, Jacobberger JW, Stark GR. Major Differences in the Responses of Primary Human Leukocyte Subsets to IFN-beta. The Journal of Immunology. 2010;185(10):5888-5899. doi:10.4049/jimmunol.0902314.</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GSE174188. https://www.ncbi.nlm.nih.gov/geo/query/acc.cgi?acc=GSE174188. Accessed 21 Aug 2026.</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GSE135779. https://www.ncbi.nlm.nih.gov/geo/query/acc.cgi?acc=GSE135779. Accessed 21 Aug 2026.</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GSE23307. https://www.ncbi.nlm.nih.gov/geo/query/acc.cgi?acc=GSE23307. Accessed 21 Aug 2026.</w:t>
      </w:r>
    </w:p>
    <w:p>
      <w:pPr>
        <w:pStyle w:val="Reference"/>
        <w:numPr>
          <w:ilvl w:val="0"/>
          <w:numId w:val="10"/>
        </w:numPr>
      </w:pPr>
      <w:r>
        <w:rPr>
          <w:rFonts w:ascii="Times New Roman" w:hAnsi="Times New Roman" w:eastAsia="Times New Roman"/>
          <w:color w:val="1F1F1F"/>
          <w:sz w:val="24"/>
        </w:rPr>
        <w:t>Chen Z, Qi T. SLE B-cell remodeling analysis: code, source data and reproducible release. Zenodo. 2026. doi:10.5281/zenodo.22086892.</w:t>
      </w:r>
    </w:p>
    <w:p>
      <w:pPr>
        <w:pStyle w:val="Reference"/>
        <w:numPr>
          <w:ilvl w:val="0"/>
          <w:numId w:val="10"/>
        </w:numPr>
      </w:pPr>
      <w:r>
        <w:rPr>
          <w:rFonts w:ascii="Times New Roman" w:hAnsi="Times New Roman" w:eastAsia="Times New Roman"/>
          <w:color w:val="1F1F1F"/>
          <w:sz w:val="24"/>
        </w:rPr>
        <w:t>Hubbard EL, Bachali P, Kingsmore KM, He Y, Catalina MD, Grammer AC, et al. Analysis of transcriptomic features reveals molecular endotypes of SLE with clinical implications. Genome Medicine. 2023;15(1):84. doi:10.1186/s13073-023-01237-9.</w:t>
      </w:r>
    </w:p>
    <w:p>
      <w:pPr>
        <w:pStyle w:val="Reference"/>
        <w:numPr>
          <w:ilvl w:val="0"/>
          <w:numId w:val="10"/>
        </w:numPr>
      </w:pPr>
      <w:r>
        <w:rPr>
          <w:rFonts w:ascii="Times New Roman" w:hAnsi="Times New Roman" w:eastAsia="Times New Roman"/>
          <w:color w:val="1F1F1F"/>
          <w:sz w:val="24"/>
        </w:rPr>
        <w:t>van Dooren HJ, Atisha-Fregoso Y, Dorjée AL, Huizinga TWJ, Mackay M, Aranow C, et al. Interferon signatures fuel B cell hyperactivity and plasmablast expansion in systemic lupus erythematosus. Journal of Autoimmunity. 2025;154:103438. doi:10.1016/j.jaut.2025.103438.</w:t>
      </w:r>
    </w:p>
    <w:p>
      <w:pPr>
        <w:pStyle w:val="Reference"/>
        <w:numPr>
          <w:ilvl w:val="0"/>
          <w:numId w:val="10"/>
        </w:numPr>
      </w:pPr>
      <w:r>
        <w:rPr>
          <w:rFonts w:ascii="Times New Roman" w:hAnsi="Times New Roman" w:eastAsia="Times New Roman"/>
          <w:color w:val="1F1F1F"/>
          <w:sz w:val="24"/>
        </w:rPr>
        <w:t>Banchereau R, Hong S, Cantarel B, Baldwin N, Baisch J, Edens M, et al. Personalized Immunomonitoring Uncovers Molecular Networks that Stratify Lupus Patients. Cell. 2016;165(3):551-565. doi:10.1016/j.cell.2016.03.008.</w:t>
      </w:r>
    </w:p>
    <w:p>
      <w:pPr>
        <w:pStyle w:val="Reference"/>
        <w:numPr>
          <w:ilvl w:val="0"/>
          <w:numId w:val="10"/>
        </w:numPr>
      </w:pPr>
      <w:r>
        <w:rPr>
          <w:rFonts w:ascii="Times New Roman" w:hAnsi="Times New Roman" w:eastAsia="Times New Roman"/>
          <w:color w:val="1F1F1F"/>
          <w:sz w:val="24"/>
        </w:rPr>
        <w:t>Arazi A, Rao DA, Berthier CC, Davidson A, Liu Y, Hoover PJ, et al. The immune cell landscape in kidneys of patients with lupus nephritis. Nature Immunology. 2019;20(7):902-914. doi:10.1038/s41590-019-0398-x.</w:t>
      </w:r>
    </w:p>
    <w:p>
      <w:pPr>
        <w:pStyle w:val="Reference"/>
        <w:numPr>
          <w:ilvl w:val="0"/>
          <w:numId w:val="10"/>
        </w:numPr>
      </w:pPr>
      <w:r>
        <w:rPr>
          <w:rFonts w:ascii="Times New Roman" w:hAnsi="Times New Roman" w:eastAsia="Times New Roman"/>
          <w:color w:val="1F1F1F"/>
          <w:sz w:val="24"/>
        </w:rPr>
        <w:t>Jenks SA, Cashman KS, Zumaquero E, Marigorta UM, Patel AV, Wang X, et al. Distinct Effector B Cells Induced by Unregulated Toll-like Receptor 7 Contribute to Pathogenic Responses in Systemic Lupus Erythematosus. Immunity. 2018;49(4):725-739.e6. doi:10.1016/j.immuni.2018.08.015.</w:t>
      </w:r>
    </w:p>
    <w:p>
      <w:pPr>
        <w:pStyle w:val="Reference"/>
        <w:numPr>
          <w:ilvl w:val="0"/>
          <w:numId w:val="10"/>
        </w:numPr>
      </w:pPr>
      <w:r>
        <w:rPr>
          <w:rFonts w:ascii="Times New Roman" w:hAnsi="Times New Roman" w:eastAsia="Times New Roman"/>
          <w:color w:val="1F1F1F"/>
          <w:sz w:val="24"/>
        </w:rPr>
        <w:t>Chiche L, Jourde-Chiche N, Whalen E, Presnell S, Gersuk V, Dang K, et al. Modular Transcriptional Repertoire Analyses of Adults With Systemic Lupus Erythematosus Reveal Distinct Type I and Type II Interferon Signatures. Arthritis &amp; Rheumatology. 2014;66(6):1583-1595. doi:10.1002/art.38628.</w:t>
      </w:r>
    </w:p>
    <w:p>
      <w:pPr>
        <w:pStyle w:val="Reference"/>
        <w:numPr>
          <w:ilvl w:val="0"/>
          <w:numId w:val="10"/>
        </w:numPr>
      </w:pPr>
      <w:r>
        <w:rPr>
          <w:rFonts w:ascii="Times New Roman" w:hAnsi="Times New Roman" w:eastAsia="Times New Roman"/>
          <w:color w:val="1F1F1F"/>
          <w:sz w:val="24"/>
        </w:rPr>
        <w:t>Szelinski F, Stefanski AL, Schrezenmeier E, Rincon-Arevalo H, Wiedemann A, Reiter K, et al. Plasmablast-like Phenotype Among Antigen-Experienced CXCR5 - CD19 low B Cells in Systemic Lupus Erythematosus. Arthritis &amp; Rheumatology. 2022;74(9):1556-1568. doi:10.1002/art.42157.</w:t>
      </w:r>
    </w:p>
    <w:p>
      <w:pPr>
        <w:pStyle w:val="Reference"/>
        <w:numPr>
          <w:ilvl w:val="0"/>
          <w:numId w:val="10"/>
        </w:numPr>
      </w:pPr>
      <w:r>
        <w:rPr>
          <w:rFonts w:ascii="Times New Roman" w:hAnsi="Times New Roman" w:eastAsia="Times New Roman"/>
          <w:color w:val="1F1F1F"/>
          <w:sz w:val="24"/>
        </w:rPr>
        <w:t>Akita K, Yasaka K, Shirai T, Ishii T, Harigae H, Fujii H. Interferon alpha Enhances B Cell Activation Associated With FOXM1 Induction: Potential Novel Therapeutic Strategy for Targeting the Plasmablasts of Systemic Lupus Erythematosus. Frontiers in Immunology. 2021;11:498703. doi:10.3389/fimmu.2020.498703.</w:t>
      </w:r>
    </w:p>
    <w:p>
      <w:pPr>
        <w:pStyle w:val="Reference"/>
        <w:numPr>
          <w:ilvl w:val="0"/>
          <w:numId w:val="10"/>
        </w:numPr>
      </w:pPr>
      <w:r>
        <w:rPr>
          <w:rFonts w:ascii="Times New Roman" w:hAnsi="Times New Roman" w:eastAsia="Times New Roman"/>
          <w:color w:val="1F1F1F"/>
          <w:sz w:val="24"/>
        </w:rPr>
        <w:t>Wu D, Smyth GK. Camera: a competitive gene set test accounting for inter-gene correlation. Nucleic Acids Research. 2012;40(17):e133-e133. doi:10.1093/nar/gks461.</w:t>
      </w:r>
    </w:p>
    <w:p>
      <w:pPr>
        <w:pStyle w:val="Reference"/>
        <w:numPr>
          <w:ilvl w:val="0"/>
          <w:numId w:val="10"/>
        </w:numPr>
      </w:pPr>
      <w:r>
        <w:rPr>
          <w:rFonts w:ascii="Times New Roman" w:hAnsi="Times New Roman" w:eastAsia="Times New Roman"/>
          <w:color w:val="1F1F1F"/>
          <w:sz w:val="24"/>
        </w:rPr>
        <w:t>Wu D, Lim E, Vaillant F, Asselin-Labat ML, Visvader JE, Smyth GK. ROAST: rotation gene set tests for complex microarray experiments. Bioinformatics. 2010;26(17):2176-2182. doi:10.1093/bioinformatics/btq401.</w:t>
      </w:r>
    </w:p>
    <w:p>
      <w:pPr>
        <w:pStyle w:val="Reference"/>
        <w:numPr>
          <w:ilvl w:val="0"/>
          <w:numId w:val="10"/>
        </w:numPr>
      </w:pPr>
      <w:r>
        <w:rPr>
          <w:rFonts w:ascii="Times New Roman" w:hAnsi="Times New Roman" w:eastAsia="Times New Roman"/>
          <w:color w:val="1F1F1F"/>
          <w:sz w:val="24"/>
        </w:rPr>
        <w:t>Ritchie ME, Phipson B, Wu D, Hu Y, Law CW, Shi W, et al. limma powers differential expression analyses for RNA-sequencing and microarray studies. Nucleic Acids Research. 2015;43(7):e47-e47. doi:10.1093/nar/gkv007.</w:t>
      </w:r>
    </w:p>
    <w:p>
      <w:pPr>
        <w:pStyle w:val="Reference"/>
        <w:numPr>
          <w:ilvl w:val="0"/>
          <w:numId w:val="10"/>
        </w:numPr>
      </w:pPr>
      <w:r>
        <w:rPr>
          <w:rFonts w:ascii="Times New Roman" w:hAnsi="Times New Roman" w:eastAsia="Times New Roman"/>
          <w:color w:val="1F1F1F"/>
          <w:sz w:val="24"/>
        </w:rPr>
        <w:t>Law CW, Chen Y, Shi W, Smyth GK. voom: precision weights unlock linear model analysis tools for RNA-seq read counts. Genome Biology. 2014;15(2):R29. doi:10.1186/gb-2014-15-2-r29.</w:t>
      </w:r>
    </w:p>
    <w:p>
      <w:pPr>
        <w:pStyle w:val="Reference"/>
        <w:numPr>
          <w:ilvl w:val="0"/>
          <w:numId w:val="10"/>
        </w:numPr>
      </w:pPr>
      <w:r>
        <w:rPr>
          <w:rFonts w:ascii="Times New Roman" w:hAnsi="Times New Roman" w:eastAsia="Times New Roman"/>
          <w:color w:val="1F1F1F"/>
          <w:sz w:val="24"/>
        </w:rPr>
        <w:t>Barnas JL, Albrecht J, Meednu N, Alzamareh DF, Baker C, McDavid A, et al. B Cell Activation and Plasma Cell Differentiation Are Promoted by IFN-lambda in Systemic Lupus Erythematosus. The Journal of Immunology. 2021;207(11):2660-2672. doi:10.4049/jimmunol.2100339.</w:t>
      </w:r>
    </w:p>
    <w:p>
      <w:pPr>
        <w:pStyle w:val="Reference"/>
        <w:numPr>
          <w:ilvl w:val="0"/>
          <w:numId w:val="10"/>
        </w:numPr>
      </w:pPr>
      <w:r>
        <w:rPr>
          <w:rFonts w:ascii="Times New Roman" w:hAnsi="Times New Roman" w:eastAsia="Times New Roman"/>
          <w:color w:val="1F1F1F"/>
          <w:sz w:val="24"/>
        </w:rPr>
        <w:t>Sayadi A, Eloranta M-L, Oparina N, Wallgren M, Skoglund E, Frodlund M, et al. Single-cell RNA-seq reveals a persistent interferon signature in immune cells from systemic lupus erythematosus patients with high versus low polygenic risk scores despite antimalarial treatment. Journal of Autoimmunity. 2026;161:103575. doi:10.1016/j.jaut.2026.103575.</w:t>
      </w:r>
    </w:p>
    <w:p>
      <w:pPr>
        <w:pStyle w:val="Reference"/>
        <w:numPr>
          <w:ilvl w:val="0"/>
          <w:numId w:val="10"/>
        </w:numPr>
      </w:pPr>
      <w:r>
        <w:rPr>
          <w:rFonts w:ascii="Times New Roman" w:hAnsi="Times New Roman" w:eastAsia="Times New Roman"/>
          <w:color w:val="1F1F1F"/>
          <w:sz w:val="24"/>
        </w:rPr>
        <w:t>Faheem Z, Boukhaled GM, Nassar C, Manion K, Kim M, Bonilla D, et al. Type I interferons enhance B cell activation and promote differentiation of double negative 2 cells in SLE. Lupus Science &amp; Medicine. 2026;13(1):e002042. doi:10.1136/lupus-2026-002042.</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Genome Medicine | Research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Genome Medicine |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720"/>
        </w:tabs>
        <w:ind w:left="720" w:hanging="360"/>
      </w:pPr>
    </w:lvl>
  </w:abstractNum>
  <w:num w:numId="10">
    <w:abstractNumId w:val="9"/>
  </w:num>
  <w:abstractNum w:abstractNumId="10">
    <w:multiLevelType w:val="singleLevel"/>
    <w:lvl w:ilvl="0">
      <w:start w:val="1"/>
      <w:numFmt w:val="bullet"/>
      <w:lvlText w:val="•"/>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color w:val="1F1F1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jc w:val="left"/>
      <w:outlineLvl w:val="1"/>
    </w:pPr>
    <w:rPr>
      <w:rFonts w:asciiTheme="majorHAnsi" w:eastAsiaTheme="majorEastAsia" w:hAnsiTheme="majorHAnsi" w:cstheme="majorBidi" w:ascii="Times New Roman" w:hAnsi="Times New Roman" w:eastAsia="Times New Roman"/>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Times New Roman" w:hAnsi="Times New Roman" w:eastAsia="Times New Roman"/>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Times New Roman" w:hAnsi="Times New Roman" w:eastAsia="Times New Roman"/>
      <w:b/>
      <w:color w:val="1F1F1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0" w:line="480" w:lineRule="auto"/>
    </w:pPr>
    <w:rPr>
      <w:rFonts w:ascii="Times New Roman" w:hAnsi="Times New Roman" w:eastAsia="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Genome Medicine manuscript</dc:title>
  <dc:subject>Genome Medicine Research submission</dc:subject>
  <dc:creator>Zhi Chen; Teng Qi</dc:creator>
  <cp:keywords>SLE; B cells; single-cell RNA sequencing; interferon</cp:keywords>
  <dc:description>Generated reproducibly from Gate C8S Markdown sources.</dc:description>
  <cp:lastModifiedBy/>
  <cp:revision>1</cp:revision>
  <dcterms:created xsi:type="dcterms:W3CDTF">2013-12-23T23:15:00Z</dcterms:created>
  <dcterms:modified xsi:type="dcterms:W3CDTF">2013-12-23T23:15:00Z</dcterms:modified>
  <cp:category/>
</cp:coreProperties>
</file>