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Supplementary information</w:t>
      </w:r>
    </w:p>
    <w:p>
      <w:pPr>
        <w:pStyle w:val="Heading1"/>
      </w:pPr>
      <w:r>
        <w:rPr>
          <w:rFonts w:ascii="Times New Roman" w:hAnsi="Times New Roman" w:eastAsia="Times New Roman"/>
          <w:color w:val="1F1F1F"/>
          <w:sz w:val="28"/>
        </w:rPr>
        <w:t>Disease-blind single-cell reconstruction separates unstable B-cell states from reproducible interferon remodeling in systemic lupus erythematosus</w:t>
      </w:r>
    </w:p>
    <w:p>
      <w:pPr>
        <w:widowControl/>
      </w:pPr>
      <w:r>
        <w:rPr>
          <w:rFonts w:ascii="Times New Roman" w:hAnsi="Times New Roman" w:eastAsia="Times New Roman"/>
          <w:b/>
          <w:color w:val="1F1F1F"/>
          <w:sz w:val="22"/>
        </w:rPr>
        <w:t>Authors:</w:t>
      </w:r>
      <w:r>
        <w:rPr>
          <w:rFonts w:ascii="Times New Roman" w:hAnsi="Times New Roman" w:eastAsia="Times New Roman"/>
          <w:color w:val="1F1F1F"/>
          <w:sz w:val="22"/>
        </w:rPr>
        <w:t xml:space="preserve"> Zhi Chen and Teng Qi</w:t>
      </w:r>
    </w:p>
    <w:p>
      <w:pPr>
        <w:pStyle w:val="Heading1"/>
      </w:pPr>
      <w:r>
        <w:rPr>
          <w:rFonts w:ascii="Times New Roman" w:hAnsi="Times New Roman" w:eastAsia="Times New Roman"/>
          <w:color w:val="1F1F1F"/>
          <w:sz w:val="28"/>
        </w:rPr>
        <w:t>Supplementary overview</w:t>
      </w:r>
    </w:p>
    <w:p>
      <w:pPr>
        <w:widowControl/>
      </w:pPr>
      <w:r>
        <w:rPr>
          <w:rFonts w:ascii="Times New Roman" w:hAnsi="Times New Roman" w:eastAsia="Times New Roman"/>
          <w:color w:val="1F1F1F"/>
          <w:sz w:val="22"/>
        </w:rPr>
        <w:t>This supplementary information reports the prespecified workflow, diagnostic analyses, statistical families and source-data structure supporting the main manuscript. Seven supplementary figures were reconstructed from the same frozen analysis tables used for the main results. Every displayed panel is linked to machine-readable source data and exact numerical assertions; no exploratory analysis was added during preparation of this document.</w:t>
      </w:r>
    </w:p>
    <w:p>
      <w:pPr>
        <w:pStyle w:val="Heading1"/>
      </w:pPr>
      <w:r>
        <w:rPr>
          <w:rFonts w:ascii="Times New Roman" w:hAnsi="Times New Roman" w:eastAsia="Times New Roman"/>
          <w:color w:val="1F1F1F"/>
          <w:sz w:val="28"/>
        </w:rPr>
        <w:t>Supplementary Methods 1 | Prespecification and outcome protection</w:t>
      </w:r>
    </w:p>
    <w:p>
      <w:pPr>
        <w:widowControl/>
      </w:pPr>
      <w:r>
        <w:rPr>
          <w:rFonts w:ascii="Times New Roman" w:hAnsi="Times New Roman" w:eastAsia="Times New Roman"/>
          <w:color w:val="1F1F1F"/>
          <w:sz w:val="22"/>
        </w:rPr>
        <w:t>The workflow used prespecified stages for source integrity, hard quality control, disease-blind identity reconstruction, sample-level composition, within-compartment pseudobulk analysis, independent validation and external regulatory evidence. Protected disease fields were separated during identity reconstruction. Disease effects were estimated only after the relevant inputs, mappings, contrasts and statistical methods had been recorded. Each stage retained a machine-readable decision and SHA-256 integrity manifest.</w:t>
      </w:r>
    </w:p>
    <w:p>
      <w:pPr>
        <w:pStyle w:val="Heading1"/>
      </w:pPr>
      <w:r>
        <w:rPr>
          <w:rFonts w:ascii="Times New Roman" w:hAnsi="Times New Roman" w:eastAsia="Times New Roman"/>
          <w:color w:val="1F1F1F"/>
          <w:sz w:val="28"/>
        </w:rPr>
        <w:t>Supplementary Methods 2 | Identity stability boundary</w:t>
      </w:r>
    </w:p>
    <w:p>
      <w:pPr>
        <w:widowControl/>
      </w:pPr>
      <w:r>
        <w:rPr>
          <w:rFonts w:ascii="Times New Roman" w:hAnsi="Times New Roman" w:eastAsia="Times New Roman"/>
          <w:color w:val="1F1F1F"/>
          <w:sz w:val="22"/>
        </w:rPr>
        <w:t xml:space="preserve">Identity stability was evaluated without disease, activity, treatment or outcome fields. The analysis used all 150,402 cells and the complete frozen 50-dimensional Harmony-adjusted principal-component representation. Twenty replicates were generated by selecting 80% of cells without replacement separately within each </w:t>
      </w:r>
      <w:r>
        <w:rPr>
          <w:rFonts w:ascii="Courier New" w:hAnsi="Courier New" w:eastAsia="Courier New"/>
          <w:color w:val="1F1F1F"/>
          <w:sz w:val="21"/>
        </w:rPr>
        <w:t>library_uuid</w:t>
      </w:r>
      <w:r>
        <w:rPr>
          <w:rFonts w:ascii="Times New Roman" w:hAnsi="Times New Roman" w:eastAsia="Times New Roman"/>
          <w:color w:val="1F1F1F"/>
          <w:sz w:val="22"/>
        </w:rPr>
        <w:t xml:space="preserve">; the target within each library was the rounded 80% count with a minimum of two cells. The recurrent highly variable genes, principal components and Harmony coordinates were not recomputed. Each replicate instead reconstructed a 15-nearest-neighbour graph from the selected frozen coordinates and reran Leiden clustering at resolutions 0.4, 0.6 and 0.8 using the </w:t>
      </w:r>
      <w:r>
        <w:rPr>
          <w:rFonts w:ascii="Courier New" w:hAnsi="Courier New" w:eastAsia="Courier New"/>
          <w:color w:val="1F1F1F"/>
          <w:sz w:val="21"/>
        </w:rPr>
        <w:t>leidenalg</w:t>
      </w:r>
      <w:r>
        <w:rPr>
          <w:rFonts w:ascii="Times New Roman" w:hAnsi="Times New Roman" w:eastAsia="Times New Roman"/>
          <w:color w:val="1F1F1F"/>
          <w:sz w:val="22"/>
        </w:rPr>
        <w:t xml:space="preserve"> implementation.</w:t>
      </w:r>
    </w:p>
    <w:p>
      <w:pPr>
        <w:widowControl/>
      </w:pPr>
      <w:r>
        <w:rPr>
          <w:rFonts w:ascii="Times New Roman" w:hAnsi="Times New Roman" w:eastAsia="Times New Roman"/>
          <w:color w:val="1F1F1F"/>
          <w:sz w:val="22"/>
        </w:rPr>
        <w:t xml:space="preserve">The base seed was 20260806. For zero-based replicate </w:t>
      </w:r>
      <w:r>
        <w:rPr>
          <w:rFonts w:ascii="Courier New" w:hAnsi="Courier New" w:eastAsia="Courier New"/>
          <w:color w:val="1F1F1F"/>
          <w:sz w:val="21"/>
        </w:rPr>
        <w:t>r=0,...,19</w:t>
      </w:r>
      <w:r>
        <w:rPr>
          <w:rFonts w:ascii="Times New Roman" w:hAnsi="Times New Roman" w:eastAsia="Times New Roman"/>
          <w:color w:val="1F1F1F"/>
          <w:sz w:val="22"/>
        </w:rPr>
        <w:t xml:space="preserve">, within-library sampling used seed </w:t>
      </w:r>
      <w:r>
        <w:rPr>
          <w:rFonts w:ascii="Courier New" w:hAnsi="Courier New" w:eastAsia="Courier New"/>
          <w:color w:val="1F1F1F"/>
          <w:sz w:val="21"/>
        </w:rPr>
        <w:t>20260806 + 1000 + r</w:t>
      </w:r>
      <w:r>
        <w:rPr>
          <w:rFonts w:ascii="Times New Roman" w:hAnsi="Times New Roman" w:eastAsia="Times New Roman"/>
          <w:color w:val="1F1F1F"/>
          <w:sz w:val="22"/>
        </w:rPr>
        <w:t xml:space="preserve">, whereas neighbour-graph and Leiden random states used </w:t>
      </w:r>
      <w:r>
        <w:rPr>
          <w:rFonts w:ascii="Courier New" w:hAnsi="Courier New" w:eastAsia="Courier New"/>
          <w:color w:val="1F1F1F"/>
          <w:sz w:val="21"/>
        </w:rPr>
        <w:t>20260806 + r</w:t>
      </w:r>
      <w:r>
        <w:rPr>
          <w:rFonts w:ascii="Times New Roman" w:hAnsi="Times New Roman" w:eastAsia="Times New Roman"/>
          <w:color w:val="1F1F1F"/>
          <w:sz w:val="22"/>
        </w:rPr>
        <w:t>. Each resampled cluster was mapped to the full-data reference cluster with the largest cell overlap, using the row-wise maximum of the observed-by-reference contingency table. Stability summaries included adjusted Rand index (ARI), adjusted mutual information, majority-mapping agreement, state-level Jaccard index and recall.</w:t>
      </w:r>
    </w:p>
    <w:p>
      <w:pPr>
        <w:widowControl/>
      </w:pPr>
      <w:r>
        <w:rPr>
          <w:rFonts w:ascii="Times New Roman" w:hAnsi="Times New Roman" w:eastAsia="Times New Roman"/>
          <w:color w:val="1F1F1F"/>
          <w:sz w:val="22"/>
        </w:rPr>
        <w:t>At resolution 0.4, candidate policies were evaluated in a fixed order: the original five clusters; a four-state policy merging source cluster 2 into cluster 0; a three-state policy merging clusters 2 and 4 into cluster 0; and a two-compartment policy merging clusters 1, 2 and 4 into cluster 0 while retaining cluster 3 as the antibody-secreting compartment. The five-, four- and three-state candidates were required to achieve median ARI at least 0.75, minimum ARI at least 0.65, median mapping agreement at least 0.80 and minimum state median Jaccard at least 0.60; each failed at least the minimum-ARI criterion. The two-compartment policy was reconstructed from the saved disease-blind transition tables, with agreement reproduced to a maximum absolute difference of 1.11 x 10^-16, and was evaluated against stricter thresholds: median mapped ARI at least 0.95, minimum mapped ARI at least 0.90, median mapping agreement at least 0.995, minimum mapping agreement at least 0.990 and minimum state median Jaccard at least 0.95. It passed with values of 0.996, 0.990, 0.9999, 0.9998 and 0.991, respectively. The antibody-secreting compartment additionally required sample support of at least 0.90 for DERL3, JCHAIN, MZB1, TNFRSF17 and XBP1; observed support was 1.00 for every required marker. Fine naive/memory structure was therefore retained only as continuous transcriptional context rather than as hard disease-inference subtypes.</w:t>
      </w:r>
    </w:p>
    <w:p>
      <w:pPr>
        <w:pStyle w:val="Heading1"/>
      </w:pPr>
      <w:r>
        <w:rPr>
          <w:rFonts w:ascii="Times New Roman" w:hAnsi="Times New Roman" w:eastAsia="Times New Roman"/>
          <w:color w:val="1F1F1F"/>
          <w:sz w:val="28"/>
        </w:rPr>
        <w:t>Supplementary Methods 3 | Biological units and contrast hierarchy</w:t>
      </w:r>
    </w:p>
    <w:p>
      <w:pPr>
        <w:widowControl/>
      </w:pPr>
      <w:r>
        <w:rPr>
          <w:rFonts w:ascii="Times New Roman" w:hAnsi="Times New Roman" w:eastAsia="Times New Roman"/>
          <w:color w:val="1F1F1F"/>
          <w:sz w:val="22"/>
        </w:rPr>
        <w:t>GSE174188 composition and expression analyses used sample-by-processing-cohort strata; donor-aware sensitivities addressed repeated samples. GSE135779 used donors as biological units. Primary, internal, donor-nonoverlap, secondary flare, childhood, combined and adult contrasts remained separate. No bridge stratum was used to manufacture a pooled disease coefficient, and internal GSE174188 estimates were not described as independent validation.</w:t>
      </w:r>
    </w:p>
    <w:p>
      <w:pPr>
        <w:pStyle w:val="Heading1"/>
      </w:pPr>
      <w:r>
        <w:rPr>
          <w:rFonts w:ascii="Times New Roman" w:hAnsi="Times New Roman" w:eastAsia="Times New Roman"/>
          <w:color w:val="1F1F1F"/>
          <w:sz w:val="28"/>
        </w:rPr>
        <w:t>Supplementary Methods 4 | Robustness and specificity</w:t>
      </w:r>
    </w:p>
    <w:p>
      <w:pPr>
        <w:widowControl/>
      </w:pPr>
      <w:r>
        <w:rPr>
          <w:rFonts w:ascii="Times New Roman" w:hAnsi="Times New Roman" w:eastAsia="Times New Roman"/>
          <w:color w:val="1F1F1F"/>
          <w:sz w:val="22"/>
        </w:rPr>
        <w:t>Prespecified sensitivity analyses varied minimum cell support, excluded residual-doublet-risk cells, deleted samples or donors one at a time, omitted source labels and compared platelet/ambient, ASC/UPR and pan-B control programs. The TF-target family used one global correction across 24 tests. STAT1 and STAT2 core results underwent leave-one-target and deterministic 80% target-resampling analyses. The GSE23307 two-donor perturbation remained descriptive.</w:t>
      </w:r>
    </w:p>
    <w:p>
      <w:pPr>
        <w:pStyle w:val="Heading1"/>
      </w:pPr>
      <w:r>
        <w:rPr>
          <w:rFonts w:ascii="Times New Roman" w:hAnsi="Times New Roman" w:eastAsia="Times New Roman"/>
          <w:color w:val="1F1F1F"/>
          <w:sz w:val="28"/>
        </w:rPr>
        <w:t>Supplementary Methods 5 | Correlation-aware regulator sensitivity</w:t>
      </w:r>
    </w:p>
    <w:p>
      <w:pPr>
        <w:widowControl/>
      </w:pPr>
      <w:r>
        <w:rPr>
          <w:rFonts w:ascii="Times New Roman" w:hAnsi="Times New Roman" w:eastAsia="Times New Roman"/>
          <w:color w:val="1F1F1F"/>
          <w:sz w:val="22"/>
        </w:rPr>
        <w:t>The sensitivity reused frozen STAT1/STAT2 signed targets, model matrices, contrasts and tested-gene backgrounds. Voom precision weights fed CAMERA with residual-estimated inter-gene correlation and FRY directional rotation tests. BH adjustment was applied across six core tests within each method. Exact agreement with frozen ULM matched-target counts was mandatory. This was a robustness analysis and not independent replication.</w:t>
      </w:r>
    </w:p>
    <w:p>
      <w:pPr>
        <w:pStyle w:val="Heading1"/>
      </w:pPr>
      <w:r>
        <w:rPr>
          <w:rFonts w:ascii="Times New Roman" w:hAnsi="Times New Roman" w:eastAsia="Times New Roman"/>
          <w:color w:val="1F1F1F"/>
          <w:sz w:val="28"/>
        </w:rPr>
        <w:t>Supplementary Table S1 | Dataset roles and inferential units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101"/>
        <w:gridCol w:w="2019"/>
        <w:gridCol w:w="2569"/>
        <w:gridCol w:w="3671"/>
      </w:tblGrid>
      <w:tr>
        <w:trPr>
          <w:tblHeader w:val="true"/>
        </w:trPr>
        <w:tc>
          <w:tcPr>
            <w:tcW w:type="dxa" w:w="1101"/>
            <w:vAlign w:val="center"/>
            <w:shd w:fill="E8EEF5"/>
          </w:tcPr>
          <w:p>
            <w:pPr>
              <w:spacing w:before="0" w:after="0" w:line="240" w:lineRule="auto"/>
            </w:pPr>
            <w:r>
              <w:rPr>
                <w:rFonts w:ascii="Times New Roman" w:hAnsi="Times New Roman" w:eastAsia="Times New Roman"/>
                <w:b/>
                <w:color w:val="1F1F1F"/>
                <w:sz w:val="20"/>
              </w:rPr>
              <w:t>Resource</w:t>
            </w:r>
          </w:p>
        </w:tc>
        <w:tc>
          <w:tcPr>
            <w:tcW w:type="dxa" w:w="2019"/>
            <w:vAlign w:val="center"/>
            <w:shd w:fill="E8EEF5"/>
          </w:tcPr>
          <w:p>
            <w:pPr>
              <w:spacing w:before="0" w:after="0" w:line="240" w:lineRule="auto"/>
            </w:pPr>
            <w:r>
              <w:rPr>
                <w:rFonts w:ascii="Times New Roman" w:hAnsi="Times New Roman" w:eastAsia="Times New Roman"/>
                <w:b/>
                <w:color w:val="1F1F1F"/>
                <w:sz w:val="20"/>
              </w:rPr>
              <w:t>Role</w:t>
            </w:r>
          </w:p>
        </w:tc>
        <w:tc>
          <w:tcPr>
            <w:tcW w:type="dxa" w:w="2569"/>
            <w:vAlign w:val="center"/>
            <w:shd w:fill="E8EEF5"/>
          </w:tcPr>
          <w:p>
            <w:pPr>
              <w:spacing w:before="0" w:after="0" w:line="240" w:lineRule="auto"/>
            </w:pPr>
            <w:r>
              <w:rPr>
                <w:rFonts w:ascii="Times New Roman" w:hAnsi="Times New Roman" w:eastAsia="Times New Roman"/>
                <w:b/>
                <w:color w:val="1F1F1F"/>
                <w:sz w:val="20"/>
              </w:rPr>
              <w:t>Biological unit</w:t>
            </w:r>
          </w:p>
        </w:tc>
        <w:tc>
          <w:tcPr>
            <w:tcW w:type="dxa" w:w="3671"/>
            <w:vAlign w:val="center"/>
            <w:shd w:fill="E8EEF5"/>
          </w:tcPr>
          <w:p>
            <w:pPr>
              <w:spacing w:before="0" w:after="0" w:line="240" w:lineRule="auto"/>
            </w:pPr>
            <w:r>
              <w:rPr>
                <w:rFonts w:ascii="Times New Roman" w:hAnsi="Times New Roman" w:eastAsia="Times New Roman"/>
                <w:b/>
                <w:color w:val="1F1F1F"/>
                <w:sz w:val="20"/>
              </w:rPr>
              <w:t>Active scope</w:t>
            </w:r>
          </w:p>
        </w:tc>
      </w:tr>
      <w:tr>
        <w:tc>
          <w:tcPr>
            <w:tcW w:type="dxa" w:w="1101"/>
            <w:vAlign w:val="center"/>
          </w:tcPr>
          <w:p>
            <w:pPr>
              <w:spacing w:before="0" w:after="0" w:line="240" w:lineRule="auto"/>
            </w:pPr>
            <w:r>
              <w:rPr>
                <w:rFonts w:ascii="Times New Roman" w:hAnsi="Times New Roman" w:eastAsia="Times New Roman"/>
                <w:color w:val="1F1F1F"/>
                <w:sz w:val="20"/>
              </w:rPr>
              <w:t>GSE174188</w:t>
            </w:r>
          </w:p>
        </w:tc>
        <w:tc>
          <w:tcPr>
            <w:tcW w:type="dxa" w:w="2019"/>
            <w:vAlign w:val="center"/>
          </w:tcPr>
          <w:p>
            <w:pPr>
              <w:spacing w:before="0" w:after="0" w:line="240" w:lineRule="auto"/>
            </w:pPr>
            <w:r>
              <w:rPr>
                <w:rFonts w:ascii="Times New Roman" w:hAnsi="Times New Roman" w:eastAsia="Times New Roman"/>
                <w:color w:val="1F1F1F"/>
                <w:sz w:val="20"/>
              </w:rPr>
              <w:t>Discovery and internal validation</w:t>
            </w:r>
          </w:p>
        </w:tc>
        <w:tc>
          <w:tcPr>
            <w:tcW w:type="dxa" w:w="2569"/>
            <w:vAlign w:val="center"/>
          </w:tcPr>
          <w:p>
            <w:pPr>
              <w:spacing w:before="0" w:after="0" w:line="240" w:lineRule="auto"/>
            </w:pPr>
            <w:r>
              <w:rPr>
                <w:rFonts w:ascii="Times New Roman" w:hAnsi="Times New Roman" w:eastAsia="Times New Roman"/>
                <w:color w:val="1F1F1F"/>
                <w:sz w:val="20"/>
              </w:rPr>
              <w:t>Sample-cohort stratum; donor sensitivities</w:t>
            </w:r>
          </w:p>
        </w:tc>
        <w:tc>
          <w:tcPr>
            <w:tcW w:type="dxa" w:w="3671"/>
            <w:vAlign w:val="center"/>
          </w:tcPr>
          <w:p>
            <w:pPr>
              <w:spacing w:before="0" w:after="0" w:line="240" w:lineRule="auto"/>
            </w:pPr>
            <w:r>
              <w:rPr>
                <w:rFonts w:ascii="Times New Roman" w:hAnsi="Times New Roman" w:eastAsia="Times New Roman"/>
                <w:color w:val="1F1F1F"/>
                <w:sz w:val="20"/>
              </w:rPr>
              <w:t>Disease-blind B_CONV/B_ASC identity, composition and B_CONV transcription</w:t>
            </w:r>
          </w:p>
        </w:tc>
      </w:tr>
      <w:tr>
        <w:tc>
          <w:tcPr>
            <w:tcW w:type="dxa" w:w="1101"/>
            <w:vAlign w:val="center"/>
          </w:tcPr>
          <w:p>
            <w:pPr>
              <w:spacing w:before="0" w:after="0" w:line="240" w:lineRule="auto"/>
            </w:pPr>
            <w:r>
              <w:rPr>
                <w:rFonts w:ascii="Times New Roman" w:hAnsi="Times New Roman" w:eastAsia="Times New Roman"/>
                <w:color w:val="1F1F1F"/>
                <w:sz w:val="20"/>
              </w:rPr>
              <w:t>GSE135779</w:t>
            </w:r>
          </w:p>
        </w:tc>
        <w:tc>
          <w:tcPr>
            <w:tcW w:type="dxa" w:w="2019"/>
            <w:vAlign w:val="center"/>
          </w:tcPr>
          <w:p>
            <w:pPr>
              <w:spacing w:before="0" w:after="0" w:line="240" w:lineRule="auto"/>
            </w:pPr>
            <w:r>
              <w:rPr>
                <w:rFonts w:ascii="Times New Roman" w:hAnsi="Times New Roman" w:eastAsia="Times New Roman"/>
                <w:color w:val="1F1F1F"/>
                <w:sz w:val="20"/>
              </w:rPr>
              <w:t>Independent SLE validation</w:t>
            </w:r>
          </w:p>
        </w:tc>
        <w:tc>
          <w:tcPr>
            <w:tcW w:type="dxa" w:w="2569"/>
            <w:vAlign w:val="center"/>
          </w:tcPr>
          <w:p>
            <w:pPr>
              <w:spacing w:before="0" w:after="0" w:line="240" w:lineRule="auto"/>
            </w:pPr>
            <w:r>
              <w:rPr>
                <w:rFonts w:ascii="Times New Roman" w:hAnsi="Times New Roman" w:eastAsia="Times New Roman"/>
                <w:color w:val="1F1F1F"/>
                <w:sz w:val="20"/>
              </w:rPr>
              <w:t>Donor</w:t>
            </w:r>
          </w:p>
        </w:tc>
        <w:tc>
          <w:tcPr>
            <w:tcW w:type="dxa" w:w="3671"/>
            <w:vAlign w:val="center"/>
          </w:tcPr>
          <w:p>
            <w:pPr>
              <w:spacing w:before="0" w:after="0" w:line="240" w:lineRule="auto"/>
            </w:pPr>
            <w:r>
              <w:rPr>
                <w:rFonts w:ascii="Times New Roman" w:hAnsi="Times New Roman" w:eastAsia="Times New Roman"/>
                <w:color w:val="1F1F1F"/>
                <w:sz w:val="20"/>
              </w:rPr>
              <w:t>Broad conventional-B analog; childhood primary</w:t>
            </w:r>
          </w:p>
        </w:tc>
      </w:tr>
      <w:tr>
        <w:tc>
          <w:tcPr>
            <w:tcW w:type="dxa" w:w="1101"/>
            <w:vAlign w:val="center"/>
          </w:tcPr>
          <w:p>
            <w:pPr>
              <w:spacing w:before="0" w:after="0" w:line="240" w:lineRule="auto"/>
            </w:pPr>
            <w:r>
              <w:rPr>
                <w:rFonts w:ascii="Times New Roman" w:hAnsi="Times New Roman" w:eastAsia="Times New Roman"/>
                <w:color w:val="1F1F1F"/>
                <w:sz w:val="20"/>
              </w:rPr>
              <w:t>CollecTRI/OmniPath</w:t>
            </w:r>
          </w:p>
        </w:tc>
        <w:tc>
          <w:tcPr>
            <w:tcW w:type="dxa" w:w="2019"/>
            <w:vAlign w:val="center"/>
          </w:tcPr>
          <w:p>
            <w:pPr>
              <w:spacing w:before="0" w:after="0" w:line="240" w:lineRule="auto"/>
            </w:pPr>
            <w:r>
              <w:rPr>
                <w:rFonts w:ascii="Times New Roman" w:hAnsi="Times New Roman" w:eastAsia="Times New Roman"/>
                <w:color w:val="1F1F1F"/>
                <w:sz w:val="20"/>
              </w:rPr>
              <w:t>Curated regulator prior</w:t>
            </w:r>
          </w:p>
        </w:tc>
        <w:tc>
          <w:tcPr>
            <w:tcW w:type="dxa" w:w="2569"/>
            <w:vAlign w:val="center"/>
          </w:tcPr>
          <w:p>
            <w:pPr>
              <w:spacing w:before="0" w:after="0" w:line="240" w:lineRule="auto"/>
            </w:pPr>
            <w:r>
              <w:rPr>
                <w:rFonts w:ascii="Times New Roman" w:hAnsi="Times New Roman" w:eastAsia="Times New Roman"/>
                <w:color w:val="1F1F1F"/>
                <w:sz w:val="20"/>
              </w:rPr>
              <w:t>Ranked genes within contrast</w:t>
            </w:r>
          </w:p>
        </w:tc>
        <w:tc>
          <w:tcPr>
            <w:tcW w:type="dxa" w:w="3671"/>
            <w:vAlign w:val="center"/>
          </w:tcPr>
          <w:p>
            <w:pPr>
              <w:spacing w:before="0" w:after="0" w:line="240" w:lineRule="auto"/>
            </w:pPr>
            <w:r>
              <w:rPr>
                <w:rFonts w:ascii="Times New Roman" w:hAnsi="Times New Roman" w:eastAsia="Times New Roman"/>
                <w:color w:val="1F1F1F"/>
                <w:sz w:val="20"/>
              </w:rPr>
              <w:t>Prespecified eight-regulator, three-contrast family</w:t>
            </w:r>
          </w:p>
        </w:tc>
      </w:tr>
      <w:tr>
        <w:tc>
          <w:tcPr>
            <w:tcW w:type="dxa" w:w="1101"/>
            <w:vAlign w:val="center"/>
          </w:tcPr>
          <w:p>
            <w:pPr>
              <w:spacing w:before="0" w:after="0" w:line="240" w:lineRule="auto"/>
            </w:pPr>
            <w:r>
              <w:rPr>
                <w:rFonts w:ascii="Times New Roman" w:hAnsi="Times New Roman" w:eastAsia="Times New Roman"/>
                <w:color w:val="1F1F1F"/>
                <w:sz w:val="20"/>
              </w:rPr>
              <w:t>MSigDB M5911</w:t>
            </w:r>
          </w:p>
        </w:tc>
        <w:tc>
          <w:tcPr>
            <w:tcW w:type="dxa" w:w="2019"/>
            <w:vAlign w:val="center"/>
          </w:tcPr>
          <w:p>
            <w:pPr>
              <w:spacing w:before="0" w:after="0" w:line="240" w:lineRule="auto"/>
            </w:pPr>
            <w:r>
              <w:rPr>
                <w:rFonts w:ascii="Times New Roman" w:hAnsi="Times New Roman" w:eastAsia="Times New Roman"/>
                <w:color w:val="1F1F1F"/>
                <w:sz w:val="20"/>
              </w:rPr>
              <w:t>Orthogonal response prior</w:t>
            </w:r>
          </w:p>
        </w:tc>
        <w:tc>
          <w:tcPr>
            <w:tcW w:type="dxa" w:w="2569"/>
            <w:vAlign w:val="center"/>
          </w:tcPr>
          <w:p>
            <w:pPr>
              <w:spacing w:before="0" w:after="0" w:line="240" w:lineRule="auto"/>
            </w:pPr>
            <w:r>
              <w:rPr>
                <w:rFonts w:ascii="Times New Roman" w:hAnsi="Times New Roman" w:eastAsia="Times New Roman"/>
                <w:color w:val="1F1F1F"/>
                <w:sz w:val="20"/>
              </w:rPr>
              <w:t>Ranked genes within contrast</w:t>
            </w:r>
          </w:p>
        </w:tc>
        <w:tc>
          <w:tcPr>
            <w:tcW w:type="dxa" w:w="3671"/>
            <w:vAlign w:val="center"/>
          </w:tcPr>
          <w:p>
            <w:pPr>
              <w:spacing w:before="0" w:after="0" w:line="240" w:lineRule="auto"/>
            </w:pPr>
            <w:r>
              <w:rPr>
                <w:rFonts w:ascii="Times New Roman" w:hAnsi="Times New Roman" w:eastAsia="Times New Roman"/>
                <w:color w:val="1F1F1F"/>
                <w:sz w:val="20"/>
              </w:rPr>
              <w:t>Hallmark interferon-alpha response enrichment</w:t>
            </w:r>
          </w:p>
        </w:tc>
      </w:tr>
      <w:tr>
        <w:tc>
          <w:tcPr>
            <w:tcW w:type="dxa" w:w="1101"/>
            <w:vAlign w:val="center"/>
          </w:tcPr>
          <w:p>
            <w:pPr>
              <w:spacing w:before="0" w:after="0" w:line="240" w:lineRule="auto"/>
            </w:pPr>
            <w:r>
              <w:rPr>
                <w:rFonts w:ascii="Times New Roman" w:hAnsi="Times New Roman" w:eastAsia="Times New Roman"/>
                <w:color w:val="1F1F1F"/>
                <w:sz w:val="20"/>
              </w:rPr>
              <w:t>GSE23307</w:t>
            </w:r>
          </w:p>
        </w:tc>
        <w:tc>
          <w:tcPr>
            <w:tcW w:type="dxa" w:w="2019"/>
            <w:vAlign w:val="center"/>
          </w:tcPr>
          <w:p>
            <w:pPr>
              <w:spacing w:before="0" w:after="0" w:line="240" w:lineRule="auto"/>
            </w:pPr>
            <w:r>
              <w:rPr>
                <w:rFonts w:ascii="Times New Roman" w:hAnsi="Times New Roman" w:eastAsia="Times New Roman"/>
                <w:color w:val="1F1F1F"/>
                <w:sz w:val="20"/>
              </w:rPr>
              <w:t>Orthogonal perturbation support</w:t>
            </w:r>
          </w:p>
        </w:tc>
        <w:tc>
          <w:tcPr>
            <w:tcW w:type="dxa" w:w="2569"/>
            <w:vAlign w:val="center"/>
          </w:tcPr>
          <w:p>
            <w:pPr>
              <w:spacing w:before="0" w:after="0" w:line="240" w:lineRule="auto"/>
            </w:pPr>
            <w:r>
              <w:rPr>
                <w:rFonts w:ascii="Times New Roman" w:hAnsi="Times New Roman" w:eastAsia="Times New Roman"/>
                <w:color w:val="1F1F1F"/>
                <w:sz w:val="20"/>
              </w:rPr>
              <w:t>Paired profile within donor</w:t>
            </w:r>
          </w:p>
        </w:tc>
        <w:tc>
          <w:tcPr>
            <w:tcW w:type="dxa" w:w="3671"/>
            <w:vAlign w:val="center"/>
          </w:tcPr>
          <w:p>
            <w:pPr>
              <w:spacing w:before="0" w:after="0" w:line="240" w:lineRule="auto"/>
            </w:pPr>
            <w:r>
              <w:rPr>
                <w:rFonts w:ascii="Times New Roman" w:hAnsi="Times New Roman" w:eastAsia="Times New Roman"/>
                <w:color w:val="1F1F1F"/>
                <w:sz w:val="20"/>
              </w:rPr>
              <w:t>Descriptive IFN-beta response, n=2 donors</w:t>
            </w:r>
          </w:p>
        </w:tc>
      </w:tr>
    </w:tbl>
    <w:p>
      <w:pPr>
        <w:spacing w:after="60"/>
      </w:pPr>
    </w:p>
    <w:p>
      <w:pPr>
        <w:pStyle w:val="Heading1"/>
      </w:pPr>
      <w:r>
        <w:rPr>
          <w:rFonts w:ascii="Times New Roman" w:hAnsi="Times New Roman" w:eastAsia="Times New Roman"/>
          <w:color w:val="1F1F1F"/>
          <w:sz w:val="28"/>
        </w:rPr>
        <w:t>Supplementary Table S2 | Claim boundaries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4629"/>
        <w:gridCol w:w="4731"/>
      </w:tblGrid>
      <w:tr>
        <w:trPr>
          <w:tblHeader w:val="true"/>
        </w:trPr>
        <w:tc>
          <w:tcPr>
            <w:tcW w:type="dxa" w:w="4629"/>
            <w:vAlign w:val="center"/>
            <w:shd w:fill="E8EEF5"/>
          </w:tcPr>
          <w:p>
            <w:pPr>
              <w:spacing w:before="0" w:after="0" w:line="240" w:lineRule="auto"/>
            </w:pPr>
            <w:r>
              <w:rPr>
                <w:rFonts w:ascii="Times New Roman" w:hAnsi="Times New Roman" w:eastAsia="Times New Roman"/>
                <w:b/>
                <w:color w:val="1F1F1F"/>
                <w:sz w:val="20"/>
              </w:rPr>
              <w:t>Supported</w:t>
            </w:r>
          </w:p>
        </w:tc>
        <w:tc>
          <w:tcPr>
            <w:tcW w:type="dxa" w:w="4731"/>
            <w:vAlign w:val="center"/>
            <w:shd w:fill="E8EEF5"/>
          </w:tcPr>
          <w:p>
            <w:pPr>
              <w:spacing w:before="0" w:after="0" w:line="240" w:lineRule="auto"/>
            </w:pPr>
            <w:r>
              <w:rPr>
                <w:rFonts w:ascii="Times New Roman" w:hAnsi="Times New Roman" w:eastAsia="Times New Roman"/>
                <w:b/>
                <w:color w:val="1F1F1F"/>
                <w:sz w:val="20"/>
              </w:rPr>
              <w:t>Not supported</w:t>
            </w:r>
          </w:p>
        </w:tc>
      </w:tr>
      <w:tr>
        <w:tc>
          <w:tcPr>
            <w:tcW w:type="dxa" w:w="4629"/>
            <w:vAlign w:val="center"/>
          </w:tcPr>
          <w:p>
            <w:pPr>
              <w:spacing w:before="0" w:after="0" w:line="240" w:lineRule="auto"/>
            </w:pPr>
            <w:r>
              <w:rPr>
                <w:rFonts w:ascii="Times New Roman" w:hAnsi="Times New Roman" w:eastAsia="Times New Roman"/>
                <w:color w:val="1F1F1F"/>
                <w:sz w:val="20"/>
              </w:rPr>
              <w:t>Broad disease-blind B_CONV and B_ASC identity</w:t>
            </w:r>
          </w:p>
        </w:tc>
        <w:tc>
          <w:tcPr>
            <w:tcW w:type="dxa" w:w="4731"/>
            <w:vAlign w:val="center"/>
          </w:tcPr>
          <w:p>
            <w:pPr>
              <w:spacing w:before="0" w:after="0" w:line="240" w:lineRule="auto"/>
            </w:pPr>
            <w:r>
              <w:rPr>
                <w:rFonts w:ascii="Times New Roman" w:hAnsi="Times New Roman" w:eastAsia="Times New Roman"/>
                <w:color w:val="1F1F1F"/>
                <w:sz w:val="20"/>
              </w:rPr>
              <w:t>Stable hard naive, memory or atypical subtypes</w:t>
            </w:r>
          </w:p>
        </w:tc>
      </w:tr>
      <w:tr>
        <w:tc>
          <w:tcPr>
            <w:tcW w:type="dxa" w:w="4629"/>
            <w:vAlign w:val="center"/>
          </w:tcPr>
          <w:p>
            <w:pPr>
              <w:spacing w:before="0" w:after="0" w:line="240" w:lineRule="auto"/>
            </w:pPr>
            <w:r>
              <w:rPr>
                <w:rFonts w:ascii="Times New Roman" w:hAnsi="Times New Roman" w:eastAsia="Times New Roman"/>
                <w:color w:val="1F1F1F"/>
                <w:sz w:val="20"/>
              </w:rPr>
              <w:t>Null primary B_ASC relative-abundance result</w:t>
            </w:r>
          </w:p>
        </w:tc>
        <w:tc>
          <w:tcPr>
            <w:tcW w:type="dxa" w:w="4731"/>
            <w:vAlign w:val="center"/>
          </w:tcPr>
          <w:p>
            <w:pPr>
              <w:spacing w:before="0" w:after="0" w:line="240" w:lineRule="auto"/>
            </w:pPr>
            <w:r>
              <w:rPr>
                <w:rFonts w:ascii="Times New Roman" w:hAnsi="Times New Roman" w:eastAsia="Times New Roman"/>
                <w:color w:val="1F1F1F"/>
                <w:sz w:val="20"/>
              </w:rPr>
              <w:t>General B_ASC expansion in SLE</w:t>
            </w:r>
          </w:p>
        </w:tc>
      </w:tr>
      <w:tr>
        <w:tc>
          <w:tcPr>
            <w:tcW w:type="dxa" w:w="4629"/>
            <w:vAlign w:val="center"/>
          </w:tcPr>
          <w:p>
            <w:pPr>
              <w:spacing w:before="0" w:after="0" w:line="240" w:lineRule="auto"/>
            </w:pPr>
            <w:r>
              <w:rPr>
                <w:rFonts w:ascii="Times New Roman" w:hAnsi="Times New Roman" w:eastAsia="Times New Roman"/>
                <w:color w:val="1F1F1F"/>
                <w:sz w:val="20"/>
              </w:rPr>
              <w:t>Replicated IFN/ISG remodeling within B_CONV</w:t>
            </w:r>
          </w:p>
        </w:tc>
        <w:tc>
          <w:tcPr>
            <w:tcW w:type="dxa" w:w="4731"/>
            <w:vAlign w:val="center"/>
          </w:tcPr>
          <w:p>
            <w:pPr>
              <w:spacing w:before="0" w:after="0" w:line="240" w:lineRule="auto"/>
            </w:pPr>
            <w:r>
              <w:rPr>
                <w:rFonts w:ascii="Times New Roman" w:hAnsi="Times New Roman" w:eastAsia="Times New Roman"/>
                <w:color w:val="1F1F1F"/>
                <w:sz w:val="20"/>
              </w:rPr>
              <w:t>Genome-wide shared disease transcriptome</w:t>
            </w:r>
          </w:p>
        </w:tc>
      </w:tr>
      <w:tr>
        <w:tc>
          <w:tcPr>
            <w:tcW w:type="dxa" w:w="4629"/>
            <w:vAlign w:val="center"/>
          </w:tcPr>
          <w:p>
            <w:pPr>
              <w:spacing w:before="0" w:after="0" w:line="240" w:lineRule="auto"/>
            </w:pPr>
            <w:r>
              <w:rPr>
                <w:rFonts w:ascii="Times New Roman" w:hAnsi="Times New Roman" w:eastAsia="Times New Roman"/>
                <w:color w:val="1F1F1F"/>
                <w:sz w:val="20"/>
              </w:rPr>
              <w:t>Convergent STAT1/STAT2 target activity</w:t>
            </w:r>
          </w:p>
        </w:tc>
        <w:tc>
          <w:tcPr>
            <w:tcW w:type="dxa" w:w="4731"/>
            <w:vAlign w:val="center"/>
          </w:tcPr>
          <w:p>
            <w:pPr>
              <w:spacing w:before="0" w:after="0" w:line="240" w:lineRule="auto"/>
            </w:pPr>
            <w:r>
              <w:rPr>
                <w:rFonts w:ascii="Times New Roman" w:hAnsi="Times New Roman" w:eastAsia="Times New Roman"/>
                <w:color w:val="1F1F1F"/>
                <w:sz w:val="20"/>
              </w:rPr>
              <w:t>Causal TF activation or direct binding</w:t>
            </w:r>
          </w:p>
        </w:tc>
      </w:tr>
      <w:tr>
        <w:tc>
          <w:tcPr>
            <w:tcW w:type="dxa" w:w="4629"/>
            <w:vAlign w:val="center"/>
          </w:tcPr>
          <w:p>
            <w:pPr>
              <w:spacing w:before="0" w:after="0" w:line="240" w:lineRule="auto"/>
            </w:pPr>
            <w:r>
              <w:rPr>
                <w:rFonts w:ascii="Times New Roman" w:hAnsi="Times New Roman" w:eastAsia="Times New Roman"/>
                <w:color w:val="1F1F1F"/>
                <w:sz w:val="20"/>
              </w:rPr>
              <w:t>IFN-centred response evidence</w:t>
            </w:r>
          </w:p>
        </w:tc>
        <w:tc>
          <w:tcPr>
            <w:tcW w:type="dxa" w:w="4731"/>
            <w:vAlign w:val="center"/>
          </w:tcPr>
          <w:p>
            <w:pPr>
              <w:spacing w:before="0" w:after="0" w:line="240" w:lineRule="auto"/>
            </w:pPr>
            <w:r>
              <w:rPr>
                <w:rFonts w:ascii="Times New Roman" w:hAnsi="Times New Roman" w:eastAsia="Times New Roman"/>
                <w:color w:val="1F1F1F"/>
                <w:sz w:val="20"/>
              </w:rPr>
              <w:t>A unique initiating IFN ligand in SLE</w:t>
            </w:r>
          </w:p>
        </w:tc>
      </w:tr>
    </w:tbl>
    <w:p>
      <w:pPr>
        <w:spacing w:after="60"/>
      </w:pPr>
    </w:p>
    <w:p>
      <w:pPr>
        <w:pStyle w:val="Heading1"/>
      </w:pPr>
      <w:r>
        <w:rPr>
          <w:rFonts w:ascii="Times New Roman" w:hAnsi="Times New Roman" w:eastAsia="Times New Roman"/>
          <w:color w:val="1F1F1F"/>
          <w:sz w:val="28"/>
        </w:rPr>
        <w:t>Supplementary Table S3 | Frozen quantitative anchors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448"/>
        <w:gridCol w:w="5912"/>
      </w:tblGrid>
      <w:tr>
        <w:trPr>
          <w:tblHeader w:val="true"/>
        </w:trPr>
        <w:tc>
          <w:tcPr>
            <w:tcW w:type="dxa" w:w="3448"/>
            <w:vAlign w:val="center"/>
            <w:shd w:fill="E8EEF5"/>
          </w:tcPr>
          <w:p>
            <w:pPr>
              <w:spacing w:before="0" w:after="0" w:line="240" w:lineRule="auto"/>
            </w:pPr>
            <w:r>
              <w:rPr>
                <w:rFonts w:ascii="Times New Roman" w:hAnsi="Times New Roman" w:eastAsia="Times New Roman"/>
                <w:b/>
                <w:color w:val="1F1F1F"/>
                <w:sz w:val="20"/>
              </w:rPr>
              <w:t>Analysis</w:t>
            </w:r>
          </w:p>
        </w:tc>
        <w:tc>
          <w:tcPr>
            <w:tcW w:type="dxa" w:w="5912"/>
            <w:vAlign w:val="center"/>
            <w:shd w:fill="E8EEF5"/>
          </w:tcPr>
          <w:p>
            <w:pPr>
              <w:spacing w:before="0" w:after="0" w:line="240" w:lineRule="auto"/>
            </w:pPr>
            <w:r>
              <w:rPr>
                <w:rFonts w:ascii="Times New Roman" w:hAnsi="Times New Roman" w:eastAsia="Times New Roman"/>
                <w:b/>
                <w:color w:val="1F1F1F"/>
                <w:sz w:val="20"/>
              </w:rPr>
              <w:t>Frozen result</w:t>
            </w:r>
          </w:p>
        </w:tc>
      </w:tr>
      <w:tr>
        <w:tc>
          <w:tcPr>
            <w:tcW w:type="dxa" w:w="3448"/>
            <w:vAlign w:val="center"/>
          </w:tcPr>
          <w:p>
            <w:pPr>
              <w:spacing w:before="0" w:after="0" w:line="240" w:lineRule="auto"/>
            </w:pPr>
            <w:r>
              <w:rPr>
                <w:rFonts w:ascii="Times New Roman" w:hAnsi="Times New Roman" w:eastAsia="Times New Roman"/>
                <w:color w:val="1F1F1F"/>
                <w:sz w:val="20"/>
              </w:rPr>
              <w:t>Identity stability</w:t>
            </w:r>
          </w:p>
        </w:tc>
        <w:tc>
          <w:tcPr>
            <w:tcW w:type="dxa" w:w="5912"/>
            <w:vAlign w:val="center"/>
          </w:tcPr>
          <w:p>
            <w:pPr>
              <w:spacing w:before="0" w:after="0" w:line="240" w:lineRule="auto"/>
            </w:pPr>
            <w:r>
              <w:rPr>
                <w:rFonts w:ascii="Times New Roman" w:hAnsi="Times New Roman" w:eastAsia="Times New Roman"/>
                <w:color w:val="1F1F1F"/>
                <w:sz w:val="20"/>
              </w:rPr>
              <w:t>minimum mapped ARI 0.990; minimum agreement 0.9998; minimum median Jaccard 0.991</w:t>
            </w:r>
          </w:p>
        </w:tc>
      </w:tr>
      <w:tr>
        <w:tc>
          <w:tcPr>
            <w:tcW w:type="dxa" w:w="3448"/>
            <w:vAlign w:val="center"/>
          </w:tcPr>
          <w:p>
            <w:pPr>
              <w:spacing w:before="0" w:after="0" w:line="240" w:lineRule="auto"/>
            </w:pPr>
            <w:r>
              <w:rPr>
                <w:rFonts w:ascii="Times New Roman" w:hAnsi="Times New Roman" w:eastAsia="Times New Roman"/>
                <w:color w:val="1F1F1F"/>
                <w:sz w:val="20"/>
              </w:rPr>
              <w:t>Primary B_ASC composition</w:t>
            </w:r>
          </w:p>
        </w:tc>
        <w:tc>
          <w:tcPr>
            <w:tcW w:type="dxa" w:w="5912"/>
            <w:vAlign w:val="center"/>
          </w:tcPr>
          <w:p>
            <w:pPr>
              <w:spacing w:before="0" w:after="0" w:line="240" w:lineRule="auto"/>
            </w:pPr>
            <w:r>
              <w:rPr>
                <w:rFonts w:ascii="Times New Roman" w:hAnsi="Times New Roman" w:eastAsia="Times New Roman"/>
                <w:color w:val="1F1F1F"/>
                <w:sz w:val="20"/>
              </w:rPr>
              <w:t>43 controls and 47 source-defined managed SLE; odds ratio 0.947; 95% CI 0.636-1.410; P=0.787</w:t>
            </w:r>
          </w:p>
        </w:tc>
      </w:tr>
      <w:tr>
        <w:tc>
          <w:tcPr>
            <w:tcW w:type="dxa" w:w="3448"/>
            <w:vAlign w:val="center"/>
          </w:tcPr>
          <w:p>
            <w:pPr>
              <w:spacing w:before="0" w:after="0" w:line="240" w:lineRule="auto"/>
            </w:pPr>
            <w:r>
              <w:rPr>
                <w:rFonts w:ascii="Times New Roman" w:hAnsi="Times New Roman" w:eastAsia="Times New Roman"/>
                <w:color w:val="1F1F1F"/>
                <w:sz w:val="20"/>
              </w:rPr>
              <w:t>GSE174188 primary IFN/ISG</w:t>
            </w:r>
          </w:p>
        </w:tc>
        <w:tc>
          <w:tcPr>
            <w:tcW w:type="dxa" w:w="5912"/>
            <w:vAlign w:val="center"/>
          </w:tcPr>
          <w:p>
            <w:pPr>
              <w:spacing w:before="0" w:after="0" w:line="240" w:lineRule="auto"/>
            </w:pPr>
            <w:r>
              <w:rPr>
                <w:rFonts w:ascii="Times New Roman" w:hAnsi="Times New Roman" w:eastAsia="Times New Roman"/>
                <w:color w:val="1F1F1F"/>
                <w:sz w:val="20"/>
              </w:rPr>
              <w:t>effect 0.837; 95% CI 0.525-1.148; q=2.98 x 10^-6</w:t>
            </w:r>
          </w:p>
        </w:tc>
      </w:tr>
      <w:tr>
        <w:tc>
          <w:tcPr>
            <w:tcW w:type="dxa" w:w="3448"/>
            <w:vAlign w:val="center"/>
          </w:tcPr>
          <w:p>
            <w:pPr>
              <w:spacing w:before="0" w:after="0" w:line="240" w:lineRule="auto"/>
            </w:pPr>
            <w:r>
              <w:rPr>
                <w:rFonts w:ascii="Times New Roman" w:hAnsi="Times New Roman" w:eastAsia="Times New Roman"/>
                <w:color w:val="1F1F1F"/>
                <w:sz w:val="20"/>
              </w:rPr>
              <w:t>GSE174188 donor-nonoverlap IFN/ISG</w:t>
            </w:r>
          </w:p>
        </w:tc>
        <w:tc>
          <w:tcPr>
            <w:tcW w:type="dxa" w:w="5912"/>
            <w:vAlign w:val="center"/>
          </w:tcPr>
          <w:p>
            <w:pPr>
              <w:spacing w:before="0" w:after="0" w:line="240" w:lineRule="auto"/>
            </w:pPr>
            <w:r>
              <w:rPr>
                <w:rFonts w:ascii="Times New Roman" w:hAnsi="Times New Roman" w:eastAsia="Times New Roman"/>
                <w:color w:val="1F1F1F"/>
                <w:sz w:val="20"/>
              </w:rPr>
              <w:t>effect 1.086; q=3.61 x 10^-4</w:t>
            </w:r>
          </w:p>
        </w:tc>
      </w:tr>
      <w:tr>
        <w:tc>
          <w:tcPr>
            <w:tcW w:type="dxa" w:w="3448"/>
            <w:vAlign w:val="center"/>
          </w:tcPr>
          <w:p>
            <w:pPr>
              <w:spacing w:before="0" w:after="0" w:line="240" w:lineRule="auto"/>
            </w:pPr>
            <w:r>
              <w:rPr>
                <w:rFonts w:ascii="Times New Roman" w:hAnsi="Times New Roman" w:eastAsia="Times New Roman"/>
                <w:color w:val="1F1F1F"/>
                <w:sz w:val="20"/>
              </w:rPr>
              <w:t>GSE135779 childhood IFN/ISG</w:t>
            </w:r>
          </w:p>
        </w:tc>
        <w:tc>
          <w:tcPr>
            <w:tcW w:type="dxa" w:w="5912"/>
            <w:vAlign w:val="center"/>
          </w:tcPr>
          <w:p>
            <w:pPr>
              <w:spacing w:before="0" w:after="0" w:line="240" w:lineRule="auto"/>
            </w:pPr>
            <w:r>
              <w:rPr>
                <w:rFonts w:ascii="Times New Roman" w:hAnsi="Times New Roman" w:eastAsia="Times New Roman"/>
                <w:color w:val="1F1F1F"/>
                <w:sz w:val="20"/>
              </w:rPr>
              <w:t>effect 1.042; 95% CI 0.681-1.402; q=2.98 x 10^-6</w:t>
            </w:r>
          </w:p>
        </w:tc>
      </w:tr>
      <w:tr>
        <w:tc>
          <w:tcPr>
            <w:tcW w:type="dxa" w:w="3448"/>
            <w:vAlign w:val="center"/>
          </w:tcPr>
          <w:p>
            <w:pPr>
              <w:spacing w:before="0" w:after="0" w:line="240" w:lineRule="auto"/>
            </w:pPr>
            <w:r>
              <w:rPr>
                <w:rFonts w:ascii="Times New Roman" w:hAnsi="Times New Roman" w:eastAsia="Times New Roman"/>
                <w:color w:val="1F1F1F"/>
                <w:sz w:val="20"/>
              </w:rPr>
              <w:t>Cross-dataset genome-wide agreement</w:t>
            </w:r>
          </w:p>
        </w:tc>
        <w:tc>
          <w:tcPr>
            <w:tcW w:type="dxa" w:w="5912"/>
            <w:vAlign w:val="center"/>
          </w:tcPr>
          <w:p>
            <w:pPr>
              <w:spacing w:before="0" w:after="0" w:line="240" w:lineRule="auto"/>
            </w:pPr>
            <w:r>
              <w:rPr>
                <w:rFonts w:ascii="Times New Roman" w:hAnsi="Times New Roman" w:eastAsia="Times New Roman"/>
                <w:color w:val="1F1F1F"/>
                <w:sz w:val="20"/>
              </w:rPr>
              <w:t>4,410 genes; Spearman rho=0.026</w:t>
            </w:r>
          </w:p>
        </w:tc>
      </w:tr>
      <w:tr>
        <w:tc>
          <w:tcPr>
            <w:tcW w:type="dxa" w:w="3448"/>
            <w:vAlign w:val="center"/>
          </w:tcPr>
          <w:p>
            <w:pPr>
              <w:spacing w:before="0" w:after="0" w:line="240" w:lineRule="auto"/>
            </w:pPr>
            <w:r>
              <w:rPr>
                <w:rFonts w:ascii="Times New Roman" w:hAnsi="Times New Roman" w:eastAsia="Times New Roman"/>
                <w:color w:val="1F1F1F"/>
                <w:sz w:val="20"/>
              </w:rPr>
              <w:t>M5911 enrichment</w:t>
            </w:r>
          </w:p>
        </w:tc>
        <w:tc>
          <w:tcPr>
            <w:tcW w:type="dxa" w:w="5912"/>
            <w:vAlign w:val="center"/>
          </w:tcPr>
          <w:p>
            <w:pPr>
              <w:spacing w:before="0" w:after="0" w:line="240" w:lineRule="auto"/>
            </w:pPr>
            <w:r>
              <w:rPr>
                <w:rFonts w:ascii="Times New Roman" w:hAnsi="Times New Roman" w:eastAsia="Times New Roman"/>
                <w:color w:val="1F1F1F"/>
                <w:sz w:val="20"/>
              </w:rPr>
              <w:t>NES 3.187, 3.050 and 3.527</w:t>
            </w:r>
          </w:p>
        </w:tc>
      </w:tr>
      <w:tr>
        <w:tc>
          <w:tcPr>
            <w:tcW w:type="dxa" w:w="3448"/>
            <w:vAlign w:val="center"/>
          </w:tcPr>
          <w:p>
            <w:pPr>
              <w:spacing w:before="0" w:after="0" w:line="240" w:lineRule="auto"/>
            </w:pPr>
            <w:r>
              <w:rPr>
                <w:rFonts w:ascii="Times New Roman" w:hAnsi="Times New Roman" w:eastAsia="Times New Roman"/>
                <w:color w:val="1F1F1F"/>
                <w:sz w:val="20"/>
              </w:rPr>
              <w:t>GSE23307 perturbation</w:t>
            </w:r>
          </w:p>
        </w:tc>
        <w:tc>
          <w:tcPr>
            <w:tcW w:type="dxa" w:w="5912"/>
            <w:vAlign w:val="center"/>
          </w:tcPr>
          <w:p>
            <w:pPr>
              <w:spacing w:before="0" w:after="0" w:line="240" w:lineRule="auto"/>
            </w:pPr>
            <w:r>
              <w:rPr>
                <w:rFonts w:ascii="Times New Roman" w:hAnsi="Times New Roman" w:eastAsia="Times New Roman"/>
                <w:color w:val="1F1F1F"/>
                <w:sz w:val="20"/>
              </w:rPr>
              <w:t>donor effects 3.294 and 3.666; 12/12 genes positive in each</w:t>
            </w:r>
          </w:p>
        </w:tc>
      </w:tr>
    </w:tbl>
    <w:p>
      <w:pPr>
        <w:spacing w:after="60"/>
      </w:pPr>
    </w:p>
    <w:p>
      <w:pPr>
        <w:pStyle w:val="Heading1"/>
      </w:pPr>
      <w:r>
        <w:rPr>
          <w:rFonts w:ascii="Times New Roman" w:hAnsi="Times New Roman" w:eastAsia="Times New Roman"/>
          <w:color w:val="1F1F1F"/>
          <w:sz w:val="28"/>
        </w:rPr>
        <w:t>Supplementary Table S4 | Correlation-aware core-regulator sensitivity</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400"/>
        <w:gridCol w:w="1100"/>
        <w:gridCol w:w="1350"/>
        <w:gridCol w:w="2100"/>
        <w:gridCol w:w="1250"/>
        <w:gridCol w:w="1160"/>
      </w:tblGrid>
      <w:tr>
        <w:trPr>
          <w:tblHeader w:val="true"/>
        </w:trPr>
        <w:tc>
          <w:tcPr>
            <w:tcW w:type="dxa" w:w="2400"/>
            <w:vAlign w:val="center"/>
            <w:shd w:fill="E8EEF5"/>
          </w:tcPr>
          <w:p>
            <w:pPr>
              <w:spacing w:before="0" w:after="0" w:line="240" w:lineRule="auto"/>
            </w:pPr>
            <w:r>
              <w:rPr>
                <w:rFonts w:ascii="Times New Roman" w:hAnsi="Times New Roman" w:eastAsia="Times New Roman"/>
                <w:b/>
                <w:color w:val="1F1F1F"/>
                <w:sz w:val="17"/>
              </w:rPr>
              <w:t>Contrast</w:t>
            </w:r>
          </w:p>
        </w:tc>
        <w:tc>
          <w:tcPr>
            <w:tcW w:type="dxa" w:w="1100"/>
            <w:vAlign w:val="center"/>
            <w:shd w:fill="E8EEF5"/>
          </w:tcPr>
          <w:p>
            <w:pPr>
              <w:spacing w:before="0" w:after="0" w:line="240" w:lineRule="auto"/>
            </w:pPr>
            <w:r>
              <w:rPr>
                <w:rFonts w:ascii="Times New Roman" w:hAnsi="Times New Roman" w:eastAsia="Times New Roman"/>
                <w:b/>
                <w:color w:val="1F1F1F"/>
                <w:sz w:val="17"/>
              </w:rPr>
              <w:t>Regulator</w:t>
            </w:r>
          </w:p>
        </w:tc>
        <w:tc>
          <w:tcPr>
            <w:tcW w:type="dxa" w:w="1350"/>
            <w:vAlign w:val="center"/>
            <w:shd w:fill="E8EEF5"/>
          </w:tcPr>
          <w:p>
            <w:pPr>
              <w:spacing w:before="0" w:after="0" w:line="240" w:lineRule="auto"/>
            </w:pPr>
            <w:r>
              <w:rPr>
                <w:rFonts w:ascii="Times New Roman" w:hAnsi="Times New Roman" w:eastAsia="Times New Roman"/>
                <w:b/>
                <w:color w:val="1F1F1F"/>
                <w:sz w:val="17"/>
              </w:rPr>
              <w:t>Matched targets</w:t>
            </w:r>
          </w:p>
        </w:tc>
        <w:tc>
          <w:tcPr>
            <w:tcW w:type="dxa" w:w="2100"/>
            <w:vAlign w:val="center"/>
            <w:shd w:fill="E8EEF5"/>
          </w:tcPr>
          <w:p>
            <w:pPr>
              <w:spacing w:before="0" w:after="0" w:line="240" w:lineRule="auto"/>
            </w:pPr>
            <w:r>
              <w:rPr>
                <w:rFonts w:ascii="Times New Roman" w:hAnsi="Times New Roman" w:eastAsia="Times New Roman"/>
                <w:b/>
                <w:color w:val="1F1F1F"/>
                <w:sz w:val="17"/>
              </w:rPr>
              <w:t>Inter-gene correlation</w:t>
            </w:r>
          </w:p>
        </w:tc>
        <w:tc>
          <w:tcPr>
            <w:tcW w:type="dxa" w:w="1250"/>
            <w:vAlign w:val="center"/>
            <w:shd w:fill="E8EEF5"/>
          </w:tcPr>
          <w:p>
            <w:pPr>
              <w:spacing w:before="0" w:after="0" w:line="240" w:lineRule="auto"/>
            </w:pPr>
            <w:r>
              <w:rPr>
                <w:rFonts w:ascii="Times New Roman" w:hAnsi="Times New Roman" w:eastAsia="Times New Roman"/>
                <w:b/>
                <w:color w:val="1F1F1F"/>
                <w:sz w:val="17"/>
              </w:rPr>
              <w:t>CAMERA BH q</w:t>
            </w:r>
          </w:p>
        </w:tc>
        <w:tc>
          <w:tcPr>
            <w:tcW w:type="dxa" w:w="1160"/>
            <w:vAlign w:val="center"/>
            <w:shd w:fill="E8EEF5"/>
          </w:tcPr>
          <w:p>
            <w:pPr>
              <w:spacing w:before="0" w:after="0" w:line="240" w:lineRule="auto"/>
            </w:pPr>
            <w:r>
              <w:rPr>
                <w:rFonts w:ascii="Times New Roman" w:hAnsi="Times New Roman" w:eastAsia="Times New Roman"/>
                <w:b/>
                <w:color w:val="1F1F1F"/>
                <w:sz w:val="17"/>
              </w:rPr>
              <w:t>FRY BH q</w:t>
            </w:r>
          </w:p>
        </w:tc>
      </w:tr>
      <w:t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98</w:t>
            </w:r>
          </w:p>
        </w:tc>
        <w:tc>
          <w:tcPr>
            <w:tcW w:type="dxa" w:w="2100"/>
            <w:vAlign w:val="center"/>
          </w:tcPr>
          <w:p>
            <w:pPr>
              <w:spacing w:before="0" w:after="0" w:line="240" w:lineRule="auto"/>
            </w:pPr>
            <w:r>
              <w:rPr>
                <w:rFonts w:ascii="Times New Roman" w:hAnsi="Times New Roman" w:eastAsia="Times New Roman"/>
                <w:color w:val="1F1F1F"/>
                <w:sz w:val="17"/>
              </w:rPr>
              <w:t>0.0362</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6.043e-06</w:t>
            </w:r>
          </w:p>
        </w:tc>
      </w:tr>
      <w:tr>
        <w:tc>
          <w:tcPr>
            <w:tcW w:type="dxa" w:w="2400"/>
            <w:vAlign w:val="center"/>
          </w:tcPr>
          <w:p>
            <w:pPr>
              <w:spacing w:before="0" w:after="0" w:line="240" w:lineRule="auto"/>
            </w:pPr>
            <w:r>
              <w:rPr>
                <w:rFonts w:ascii="Times New Roman" w:hAnsi="Times New Roman" w:eastAsia="Times New Roman"/>
                <w:color w:val="1F1F1F"/>
                <w:sz w:val="17"/>
              </w:rPr>
              <w:t>GSE174188 primary</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14</w:t>
            </w:r>
          </w:p>
        </w:tc>
        <w:tc>
          <w:tcPr>
            <w:tcW w:type="dxa" w:w="2100"/>
            <w:vAlign w:val="center"/>
          </w:tcPr>
          <w:p>
            <w:pPr>
              <w:spacing w:before="0" w:after="0" w:line="240" w:lineRule="auto"/>
            </w:pPr>
            <w:r>
              <w:rPr>
                <w:rFonts w:ascii="Times New Roman" w:hAnsi="Times New Roman" w:eastAsia="Times New Roman"/>
                <w:color w:val="1F1F1F"/>
                <w:sz w:val="17"/>
              </w:rPr>
              <w:t>0.1225</w:t>
            </w:r>
          </w:p>
        </w:tc>
        <w:tc>
          <w:tcPr>
            <w:tcW w:type="dxa" w:w="1250"/>
            <w:vAlign w:val="center"/>
          </w:tcPr>
          <w:p>
            <w:pPr>
              <w:spacing w:before="0" w:after="0" w:line="240" w:lineRule="auto"/>
            </w:pPr>
            <w:r>
              <w:rPr>
                <w:rFonts w:ascii="Times New Roman" w:hAnsi="Times New Roman" w:eastAsia="Times New Roman"/>
                <w:color w:val="1F1F1F"/>
                <w:sz w:val="17"/>
              </w:rPr>
              <w:t>0.1355</w:t>
            </w:r>
          </w:p>
        </w:tc>
        <w:tc>
          <w:tcPr>
            <w:tcW w:type="dxa" w:w="1160"/>
            <w:vAlign w:val="center"/>
          </w:tcPr>
          <w:p>
            <w:pPr>
              <w:spacing w:before="0" w:after="0" w:line="240" w:lineRule="auto"/>
            </w:pPr>
            <w:r>
              <w:rPr>
                <w:rFonts w:ascii="Times New Roman" w:hAnsi="Times New Roman" w:eastAsia="Times New Roman"/>
                <w:color w:val="1F1F1F"/>
                <w:sz w:val="17"/>
              </w:rPr>
              <w:t>4.909e-05</w:t>
            </w:r>
          </w:p>
        </w:tc>
      </w:tr>
      <w:t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129</w:t>
            </w:r>
          </w:p>
        </w:tc>
        <w:tc>
          <w:tcPr>
            <w:tcW w:type="dxa" w:w="2100"/>
            <w:vAlign w:val="center"/>
          </w:tcPr>
          <w:p>
            <w:pPr>
              <w:spacing w:before="0" w:after="0" w:line="240" w:lineRule="auto"/>
            </w:pPr>
            <w:r>
              <w:rPr>
                <w:rFonts w:ascii="Times New Roman" w:hAnsi="Times New Roman" w:eastAsia="Times New Roman"/>
                <w:color w:val="1F1F1F"/>
                <w:sz w:val="17"/>
              </w:rPr>
              <w:t>0.0209</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8.49e-06</w:t>
            </w:r>
          </w:p>
        </w:tc>
      </w:tr>
      <w:tr>
        <w:tc>
          <w:tcPr>
            <w:tcW w:type="dxa" w:w="2400"/>
            <w:vAlign w:val="center"/>
          </w:tcPr>
          <w:p>
            <w:pPr>
              <w:spacing w:before="0" w:after="0" w:line="240" w:lineRule="auto"/>
            </w:pPr>
            <w:r>
              <w:rPr>
                <w:rFonts w:ascii="Times New Roman" w:hAnsi="Times New Roman" w:eastAsia="Times New Roman"/>
                <w:color w:val="1F1F1F"/>
                <w:sz w:val="17"/>
              </w:rPr>
              <w:t>GSE174188 donor-nonoverlap</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19</w:t>
            </w:r>
          </w:p>
        </w:tc>
        <w:tc>
          <w:tcPr>
            <w:tcW w:type="dxa" w:w="2100"/>
            <w:vAlign w:val="center"/>
          </w:tcPr>
          <w:p>
            <w:pPr>
              <w:spacing w:before="0" w:after="0" w:line="240" w:lineRule="auto"/>
            </w:pPr>
            <w:r>
              <w:rPr>
                <w:rFonts w:ascii="Times New Roman" w:hAnsi="Times New Roman" w:eastAsia="Times New Roman"/>
                <w:color w:val="1F1F1F"/>
                <w:sz w:val="17"/>
              </w:rPr>
              <w:t>0.1191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4.277e-07</w:t>
            </w:r>
          </w:p>
        </w:tc>
      </w:tr>
      <w:t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STAT1</w:t>
            </w:r>
          </w:p>
        </w:tc>
        <w:tc>
          <w:tcPr>
            <w:tcW w:type="dxa" w:w="1350"/>
            <w:vAlign w:val="center"/>
          </w:tcPr>
          <w:p>
            <w:pPr>
              <w:spacing w:before="0" w:after="0" w:line="240" w:lineRule="auto"/>
            </w:pPr>
            <w:r>
              <w:rPr>
                <w:rFonts w:ascii="Times New Roman" w:hAnsi="Times New Roman" w:eastAsia="Times New Roman"/>
                <w:color w:val="1F1F1F"/>
                <w:sz w:val="17"/>
              </w:rPr>
              <w:t>161</w:t>
            </w:r>
          </w:p>
        </w:tc>
        <w:tc>
          <w:tcPr>
            <w:tcW w:type="dxa" w:w="2100"/>
            <w:vAlign w:val="center"/>
          </w:tcPr>
          <w:p>
            <w:pPr>
              <w:spacing w:before="0" w:after="0" w:line="240" w:lineRule="auto"/>
            </w:pPr>
            <w:r>
              <w:rPr>
                <w:rFonts w:ascii="Times New Roman" w:hAnsi="Times New Roman" w:eastAsia="Times New Roman"/>
                <w:color w:val="1F1F1F"/>
                <w:sz w:val="17"/>
              </w:rPr>
              <w:t>0.0301</w:t>
            </w:r>
          </w:p>
        </w:tc>
        <w:tc>
          <w:tcPr>
            <w:tcW w:type="dxa" w:w="1250"/>
            <w:vAlign w:val="center"/>
          </w:tcPr>
          <w:p>
            <w:pPr>
              <w:spacing w:before="0" w:after="0" w:line="240" w:lineRule="auto"/>
            </w:pPr>
            <w:r>
              <w:rPr>
                <w:rFonts w:ascii="Times New Roman" w:hAnsi="Times New Roman" w:eastAsia="Times New Roman"/>
                <w:color w:val="1F1F1F"/>
                <w:sz w:val="17"/>
              </w:rPr>
              <w:t>0.0263</w:t>
            </w:r>
          </w:p>
        </w:tc>
        <w:tc>
          <w:tcPr>
            <w:tcW w:type="dxa" w:w="1160"/>
            <w:vAlign w:val="center"/>
          </w:tcPr>
          <w:p>
            <w:pPr>
              <w:spacing w:before="0" w:after="0" w:line="240" w:lineRule="auto"/>
            </w:pPr>
            <w:r>
              <w:rPr>
                <w:rFonts w:ascii="Times New Roman" w:hAnsi="Times New Roman" w:eastAsia="Times New Roman"/>
                <w:color w:val="1F1F1F"/>
                <w:sz w:val="17"/>
              </w:rPr>
              <w:t>2.685e-05</w:t>
            </w:r>
          </w:p>
        </w:tc>
      </w:tr>
      <w:tr>
        <w:tc>
          <w:tcPr>
            <w:tcW w:type="dxa" w:w="2400"/>
            <w:vAlign w:val="center"/>
          </w:tcPr>
          <w:p>
            <w:pPr>
              <w:spacing w:before="0" w:after="0" w:line="240" w:lineRule="auto"/>
            </w:pPr>
            <w:r>
              <w:rPr>
                <w:rFonts w:ascii="Times New Roman" w:hAnsi="Times New Roman" w:eastAsia="Times New Roman"/>
                <w:color w:val="1F1F1F"/>
                <w:sz w:val="17"/>
              </w:rPr>
              <w:t>GSE135779 childhood</w:t>
            </w:r>
          </w:p>
        </w:tc>
        <w:tc>
          <w:tcPr>
            <w:tcW w:type="dxa" w:w="1100"/>
            <w:vAlign w:val="center"/>
          </w:tcPr>
          <w:p>
            <w:pPr>
              <w:spacing w:before="0" w:after="0" w:line="240" w:lineRule="auto"/>
            </w:pPr>
            <w:r>
              <w:rPr>
                <w:rFonts w:ascii="Times New Roman" w:hAnsi="Times New Roman" w:eastAsia="Times New Roman"/>
                <w:color w:val="1F1F1F"/>
                <w:sz w:val="17"/>
              </w:rPr>
              <w:t>STAT2</w:t>
            </w:r>
          </w:p>
        </w:tc>
        <w:tc>
          <w:tcPr>
            <w:tcW w:type="dxa" w:w="1350"/>
            <w:vAlign w:val="center"/>
          </w:tcPr>
          <w:p>
            <w:pPr>
              <w:spacing w:before="0" w:after="0" w:line="240" w:lineRule="auto"/>
            </w:pPr>
            <w:r>
              <w:rPr>
                <w:rFonts w:ascii="Times New Roman" w:hAnsi="Times New Roman" w:eastAsia="Times New Roman"/>
                <w:color w:val="1F1F1F"/>
                <w:sz w:val="17"/>
              </w:rPr>
              <w:t>20</w:t>
            </w:r>
          </w:p>
        </w:tc>
        <w:tc>
          <w:tcPr>
            <w:tcW w:type="dxa" w:w="2100"/>
            <w:vAlign w:val="center"/>
          </w:tcPr>
          <w:p>
            <w:pPr>
              <w:spacing w:before="0" w:after="0" w:line="240" w:lineRule="auto"/>
            </w:pPr>
            <w:r>
              <w:rPr>
                <w:rFonts w:ascii="Times New Roman" w:hAnsi="Times New Roman" w:eastAsia="Times New Roman"/>
                <w:color w:val="1F1F1F"/>
                <w:sz w:val="17"/>
              </w:rPr>
              <w:t>0.1223</w:t>
            </w:r>
          </w:p>
        </w:tc>
        <w:tc>
          <w:tcPr>
            <w:tcW w:type="dxa" w:w="1250"/>
            <w:vAlign w:val="center"/>
          </w:tcPr>
          <w:p>
            <w:pPr>
              <w:spacing w:before="0" w:after="0" w:line="240" w:lineRule="auto"/>
            </w:pPr>
            <w:r>
              <w:rPr>
                <w:rFonts w:ascii="Times New Roman" w:hAnsi="Times New Roman" w:eastAsia="Times New Roman"/>
                <w:color w:val="1F1F1F"/>
                <w:sz w:val="17"/>
              </w:rPr>
              <w:t>0.03026</w:t>
            </w:r>
          </w:p>
        </w:tc>
        <w:tc>
          <w:tcPr>
            <w:tcW w:type="dxa" w:w="1160"/>
            <w:vAlign w:val="center"/>
          </w:tcPr>
          <w:p>
            <w:pPr>
              <w:spacing w:before="0" w:after="0" w:line="240" w:lineRule="auto"/>
            </w:pPr>
            <w:r>
              <w:rPr>
                <w:rFonts w:ascii="Times New Roman" w:hAnsi="Times New Roman" w:eastAsia="Times New Roman"/>
                <w:color w:val="1F1F1F"/>
                <w:sz w:val="17"/>
              </w:rPr>
              <w:t>1.231e-05</w:t>
            </w:r>
          </w:p>
        </w:tc>
      </w:tr>
    </w:tbl>
    <w:p>
      <w:pPr>
        <w:spacing w:after="60"/>
      </w:pPr>
    </w:p>
    <w:p>
      <w:pPr>
        <w:widowControl/>
      </w:pPr>
      <w:r>
        <w:rPr>
          <w:rFonts w:ascii="Times New Roman" w:hAnsi="Times New Roman" w:eastAsia="Times New Roman"/>
          <w:color w:val="1F1F1F"/>
          <w:sz w:val="22"/>
        </w:rPr>
        <w:t>CAMERA and FRY directions were positive in all six tests. CAMERA passed BH correction in five of six; the explicit exception was GSE174188 primary STAT2 (q=0.1355). FRY passed BH correction in all six.</w:t>
      </w:r>
    </w:p>
    <w:p>
      <w:pPr>
        <w:pStyle w:val="Heading1"/>
      </w:pPr>
      <w:r>
        <w:rPr>
          <w:rFonts w:ascii="Times New Roman" w:hAnsi="Times New Roman" w:eastAsia="Times New Roman"/>
          <w:color w:val="1F1F1F"/>
          <w:sz w:val="28"/>
        </w:rPr>
        <w:t>Supplementary Table S5 | Main-figure source-data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089"/>
        <w:gridCol w:w="5979"/>
        <w:gridCol w:w="2292"/>
      </w:tblGrid>
      <w:tr>
        <w:trPr>
          <w:tblHeader w:val="true"/>
        </w:trPr>
        <w:tc>
          <w:tcPr>
            <w:tcW w:type="dxa" w:w="1089"/>
            <w:vAlign w:val="center"/>
            <w:shd w:fill="E8EEF5"/>
          </w:tcPr>
          <w:p>
            <w:pPr>
              <w:spacing w:before="0" w:after="0" w:line="240" w:lineRule="auto"/>
            </w:pPr>
            <w:r>
              <w:rPr>
                <w:rFonts w:ascii="Times New Roman" w:hAnsi="Times New Roman" w:eastAsia="Times New Roman"/>
                <w:b/>
                <w:color w:val="1F1F1F"/>
                <w:sz w:val="20"/>
              </w:rPr>
              <w:t>Figure</w:t>
            </w:r>
          </w:p>
        </w:tc>
        <w:tc>
          <w:tcPr>
            <w:tcW w:type="dxa" w:w="5979"/>
            <w:vAlign w:val="center"/>
            <w:shd w:fill="E8EEF5"/>
          </w:tcPr>
          <w:p>
            <w:pPr>
              <w:spacing w:before="0" w:after="0" w:line="240" w:lineRule="auto"/>
            </w:pPr>
            <w:r>
              <w:rPr>
                <w:rFonts w:ascii="Times New Roman" w:hAnsi="Times New Roman" w:eastAsia="Times New Roman"/>
                <w:b/>
                <w:color w:val="1F1F1F"/>
                <w:sz w:val="20"/>
              </w:rPr>
              <w:t>Evidence basis</w:t>
            </w:r>
          </w:p>
        </w:tc>
        <w:tc>
          <w:tcPr>
            <w:tcW w:type="dxa" w:w="2292"/>
            <w:vAlign w:val="center"/>
            <w:shd w:fill="E8EEF5"/>
          </w:tcPr>
          <w:p>
            <w:pPr>
              <w:spacing w:before="0" w:after="0" w:line="240" w:lineRule="auto"/>
            </w:pPr>
            <w:r>
              <w:rPr>
                <w:rFonts w:ascii="Times New Roman" w:hAnsi="Times New Roman" w:eastAsia="Times New Roman"/>
                <w:b/>
                <w:color w:val="1F1F1F"/>
                <w:sz w:val="20"/>
              </w:rPr>
              <w:t>Machine-readable source</w:t>
            </w:r>
          </w:p>
        </w:tc>
      </w:tr>
      <w:tr>
        <w:tc>
          <w:tcPr>
            <w:tcW w:type="dxa" w:w="1089"/>
            <w:vAlign w:val="center"/>
          </w:tcPr>
          <w:p>
            <w:pPr>
              <w:spacing w:before="0" w:after="0" w:line="240" w:lineRule="auto"/>
            </w:pPr>
            <w:r>
              <w:rPr>
                <w:rFonts w:ascii="Times New Roman" w:hAnsi="Times New Roman" w:eastAsia="Times New Roman"/>
                <w:color w:val="1F1F1F"/>
                <w:sz w:val="20"/>
              </w:rPr>
              <w:t>Figure 1</w:t>
            </w:r>
          </w:p>
        </w:tc>
        <w:tc>
          <w:tcPr>
            <w:tcW w:type="dxa" w:w="5979"/>
            <w:vAlign w:val="center"/>
          </w:tcPr>
          <w:p>
            <w:pPr>
              <w:spacing w:before="0" w:after="0" w:line="240" w:lineRule="auto"/>
            </w:pPr>
            <w:r>
              <w:rPr>
                <w:rFonts w:ascii="Times New Roman" w:hAnsi="Times New Roman" w:eastAsia="Times New Roman"/>
                <w:color w:val="1F1F1F"/>
                <w:sz w:val="20"/>
              </w:rPr>
              <w:t>Disease-blind identity stability and two-compartment adjudication</w:t>
            </w:r>
          </w:p>
        </w:tc>
        <w:tc>
          <w:tcPr>
            <w:tcW w:type="dxa" w:w="2292"/>
            <w:vAlign w:val="center"/>
          </w:tcPr>
          <w:p>
            <w:pPr>
              <w:spacing w:before="0" w:after="0" w:line="240" w:lineRule="auto"/>
            </w:pPr>
            <w:r>
              <w:rPr>
                <w:rFonts w:ascii="Times New Roman" w:hAnsi="Times New Roman" w:eastAsia="Times New Roman"/>
                <w:color w:val="1F1F1F"/>
                <w:sz w:val="20"/>
              </w:rPr>
              <w:t>Figure1_source_data.csv</w:t>
            </w:r>
          </w:p>
        </w:tc>
      </w:tr>
      <w:tr>
        <w:tc>
          <w:tcPr>
            <w:tcW w:type="dxa" w:w="1089"/>
            <w:vAlign w:val="center"/>
          </w:tcPr>
          <w:p>
            <w:pPr>
              <w:spacing w:before="0" w:after="0" w:line="240" w:lineRule="auto"/>
            </w:pPr>
            <w:r>
              <w:rPr>
                <w:rFonts w:ascii="Times New Roman" w:hAnsi="Times New Roman" w:eastAsia="Times New Roman"/>
                <w:color w:val="1F1F1F"/>
                <w:sz w:val="20"/>
              </w:rPr>
              <w:t>Figure 2</w:t>
            </w:r>
          </w:p>
        </w:tc>
        <w:tc>
          <w:tcPr>
            <w:tcW w:type="dxa" w:w="5979"/>
            <w:vAlign w:val="center"/>
          </w:tcPr>
          <w:p>
            <w:pPr>
              <w:spacing w:before="0" w:after="0" w:line="240" w:lineRule="auto"/>
            </w:pPr>
            <w:r>
              <w:rPr>
                <w:rFonts w:ascii="Times New Roman" w:hAnsi="Times New Roman" w:eastAsia="Times New Roman"/>
                <w:color w:val="1F1F1F"/>
                <w:sz w:val="20"/>
              </w:rPr>
              <w:t>Sample-level composition and asserted 43/47 primary groups</w:t>
            </w:r>
          </w:p>
        </w:tc>
        <w:tc>
          <w:tcPr>
            <w:tcW w:type="dxa" w:w="2292"/>
            <w:vAlign w:val="center"/>
          </w:tcPr>
          <w:p>
            <w:pPr>
              <w:spacing w:before="0" w:after="0" w:line="240" w:lineRule="auto"/>
            </w:pPr>
            <w:r>
              <w:rPr>
                <w:rFonts w:ascii="Times New Roman" w:hAnsi="Times New Roman" w:eastAsia="Times New Roman"/>
                <w:color w:val="1F1F1F"/>
                <w:sz w:val="20"/>
              </w:rPr>
              <w:t>Figure2_source_data.csv</w:t>
            </w:r>
          </w:p>
        </w:tc>
      </w:tr>
      <w:tr>
        <w:tc>
          <w:tcPr>
            <w:tcW w:type="dxa" w:w="1089"/>
            <w:vAlign w:val="center"/>
          </w:tcPr>
          <w:p>
            <w:pPr>
              <w:spacing w:before="0" w:after="0" w:line="240" w:lineRule="auto"/>
            </w:pPr>
            <w:r>
              <w:rPr>
                <w:rFonts w:ascii="Times New Roman" w:hAnsi="Times New Roman" w:eastAsia="Times New Roman"/>
                <w:color w:val="1F1F1F"/>
                <w:sz w:val="20"/>
              </w:rPr>
              <w:t>Figure 3</w:t>
            </w:r>
          </w:p>
        </w:tc>
        <w:tc>
          <w:tcPr>
            <w:tcW w:type="dxa" w:w="5979"/>
            <w:vAlign w:val="center"/>
          </w:tcPr>
          <w:p>
            <w:pPr>
              <w:spacing w:before="0" w:after="0" w:line="240" w:lineRule="auto"/>
            </w:pPr>
            <w:r>
              <w:rPr>
                <w:rFonts w:ascii="Times New Roman" w:hAnsi="Times New Roman" w:eastAsia="Times New Roman"/>
                <w:color w:val="1F1F1F"/>
                <w:sz w:val="20"/>
              </w:rPr>
              <w:t>Raw-count pseudobulk transcription with explicit tested-gene symbols</w:t>
            </w:r>
          </w:p>
        </w:tc>
        <w:tc>
          <w:tcPr>
            <w:tcW w:type="dxa" w:w="2292"/>
            <w:vAlign w:val="center"/>
          </w:tcPr>
          <w:p>
            <w:pPr>
              <w:spacing w:before="0" w:after="0" w:line="240" w:lineRule="auto"/>
            </w:pPr>
            <w:r>
              <w:rPr>
                <w:rFonts w:ascii="Times New Roman" w:hAnsi="Times New Roman" w:eastAsia="Times New Roman"/>
                <w:color w:val="1F1F1F"/>
                <w:sz w:val="20"/>
              </w:rPr>
              <w:t>Figure3_source_data.csv</w:t>
            </w:r>
          </w:p>
        </w:tc>
      </w:tr>
      <w:tr>
        <w:tc>
          <w:tcPr>
            <w:tcW w:type="dxa" w:w="1089"/>
            <w:vAlign w:val="center"/>
          </w:tcPr>
          <w:p>
            <w:pPr>
              <w:spacing w:before="0" w:after="0" w:line="240" w:lineRule="auto"/>
            </w:pPr>
            <w:r>
              <w:rPr>
                <w:rFonts w:ascii="Times New Roman" w:hAnsi="Times New Roman" w:eastAsia="Times New Roman"/>
                <w:color w:val="1F1F1F"/>
                <w:sz w:val="20"/>
              </w:rPr>
              <w:t>Figure 4</w:t>
            </w:r>
          </w:p>
        </w:tc>
        <w:tc>
          <w:tcPr>
            <w:tcW w:type="dxa" w:w="5979"/>
            <w:vAlign w:val="center"/>
          </w:tcPr>
          <w:p>
            <w:pPr>
              <w:spacing w:before="0" w:after="0" w:line="240" w:lineRule="auto"/>
            </w:pPr>
            <w:r>
              <w:rPr>
                <w:rFonts w:ascii="Times New Roman" w:hAnsi="Times New Roman" w:eastAsia="Times New Roman"/>
                <w:color w:val="1F1F1F"/>
                <w:sz w:val="20"/>
              </w:rPr>
              <w:t>Independent GSE135779 validation and influence analyses</w:t>
            </w:r>
          </w:p>
        </w:tc>
        <w:tc>
          <w:tcPr>
            <w:tcW w:type="dxa" w:w="2292"/>
            <w:vAlign w:val="center"/>
          </w:tcPr>
          <w:p>
            <w:pPr>
              <w:spacing w:before="0" w:after="0" w:line="240" w:lineRule="auto"/>
            </w:pPr>
            <w:r>
              <w:rPr>
                <w:rFonts w:ascii="Times New Roman" w:hAnsi="Times New Roman" w:eastAsia="Times New Roman"/>
                <w:color w:val="1F1F1F"/>
                <w:sz w:val="20"/>
              </w:rPr>
              <w:t>Figure4_source_data.csv</w:t>
            </w:r>
          </w:p>
        </w:tc>
      </w:tr>
      <w:tr>
        <w:tc>
          <w:tcPr>
            <w:tcW w:type="dxa" w:w="1089"/>
            <w:vAlign w:val="center"/>
          </w:tcPr>
          <w:p>
            <w:pPr>
              <w:spacing w:before="0" w:after="0" w:line="240" w:lineRule="auto"/>
            </w:pPr>
            <w:r>
              <w:rPr>
                <w:rFonts w:ascii="Times New Roman" w:hAnsi="Times New Roman" w:eastAsia="Times New Roman"/>
                <w:color w:val="1F1F1F"/>
                <w:sz w:val="20"/>
              </w:rPr>
              <w:t>Figure 5</w:t>
            </w:r>
          </w:p>
        </w:tc>
        <w:tc>
          <w:tcPr>
            <w:tcW w:type="dxa" w:w="5979"/>
            <w:vAlign w:val="center"/>
          </w:tcPr>
          <w:p>
            <w:pPr>
              <w:spacing w:before="0" w:after="0" w:line="240" w:lineRule="auto"/>
            </w:pPr>
            <w:r>
              <w:rPr>
                <w:rFonts w:ascii="Times New Roman" w:hAnsi="Times New Roman" w:eastAsia="Times New Roman"/>
                <w:color w:val="1F1F1F"/>
                <w:sz w:val="20"/>
              </w:rPr>
              <w:t>Regulatory and orthogonal response evidence</w:t>
            </w:r>
          </w:p>
        </w:tc>
        <w:tc>
          <w:tcPr>
            <w:tcW w:type="dxa" w:w="2292"/>
            <w:vAlign w:val="center"/>
          </w:tcPr>
          <w:p>
            <w:pPr>
              <w:spacing w:before="0" w:after="0" w:line="240" w:lineRule="auto"/>
            </w:pPr>
            <w:r>
              <w:rPr>
                <w:rFonts w:ascii="Times New Roman" w:hAnsi="Times New Roman" w:eastAsia="Times New Roman"/>
                <w:color w:val="1F1F1F"/>
                <w:sz w:val="20"/>
              </w:rPr>
              <w:t>Figure5_source_data.csv</w:t>
            </w:r>
          </w:p>
        </w:tc>
      </w:tr>
    </w:tbl>
    <w:p>
      <w:pPr>
        <w:spacing w:after="60"/>
      </w:pPr>
    </w:p>
    <w:p>
      <w:pPr>
        <w:pStyle w:val="Heading1"/>
      </w:pPr>
      <w:r>
        <w:rPr>
          <w:rFonts w:ascii="Times New Roman" w:hAnsi="Times New Roman" w:eastAsia="Times New Roman"/>
          <w:color w:val="1F1F1F"/>
          <w:sz w:val="28"/>
        </w:rPr>
        <w:t>Supplementary Table S6 | Reproducibility record</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386"/>
        <w:gridCol w:w="5974"/>
      </w:tblGrid>
      <w:tr>
        <w:trPr>
          <w:tblHeader w:val="true"/>
        </w:trPr>
        <w:tc>
          <w:tcPr>
            <w:tcW w:type="dxa" w:w="3386"/>
            <w:vAlign w:val="center"/>
            <w:shd w:fill="E8EEF5"/>
          </w:tcPr>
          <w:p>
            <w:pPr>
              <w:spacing w:before="0" w:after="0" w:line="240" w:lineRule="auto"/>
            </w:pPr>
            <w:r>
              <w:rPr>
                <w:rFonts w:ascii="Times New Roman" w:hAnsi="Times New Roman" w:eastAsia="Times New Roman"/>
                <w:b/>
                <w:color w:val="1F1F1F"/>
                <w:sz w:val="20"/>
              </w:rPr>
              <w:t>Component</w:t>
            </w:r>
          </w:p>
        </w:tc>
        <w:tc>
          <w:tcPr>
            <w:tcW w:type="dxa" w:w="5974"/>
            <w:vAlign w:val="center"/>
            <w:shd w:fill="E8EEF5"/>
          </w:tcPr>
          <w:p>
            <w:pPr>
              <w:spacing w:before="0" w:after="0" w:line="240" w:lineRule="auto"/>
            </w:pPr>
            <w:r>
              <w:rPr>
                <w:rFonts w:ascii="Times New Roman" w:hAnsi="Times New Roman" w:eastAsia="Times New Roman"/>
                <w:b/>
                <w:color w:val="1F1F1F"/>
                <w:sz w:val="20"/>
              </w:rPr>
              <w:t>Reader-accessible record</w:t>
            </w:r>
          </w:p>
        </w:tc>
      </w:tr>
      <w:tr>
        <w:tc>
          <w:tcPr>
            <w:tcW w:type="dxa" w:w="3386"/>
            <w:vAlign w:val="center"/>
          </w:tcPr>
          <w:p>
            <w:pPr>
              <w:spacing w:before="0" w:after="0" w:line="240" w:lineRule="auto"/>
            </w:pPr>
            <w:r>
              <w:rPr>
                <w:rFonts w:ascii="Times New Roman" w:hAnsi="Times New Roman" w:eastAsia="Times New Roman"/>
                <w:color w:val="1F1F1F"/>
                <w:sz w:val="20"/>
              </w:rPr>
              <w:t>Main and supplementary figure data</w:t>
            </w:r>
          </w:p>
        </w:tc>
        <w:tc>
          <w:tcPr>
            <w:tcW w:type="dxa" w:w="5974"/>
            <w:vAlign w:val="center"/>
          </w:tcPr>
          <w:p>
            <w:pPr>
              <w:spacing w:before="0" w:after="0" w:line="240" w:lineRule="auto"/>
            </w:pPr>
            <w:r>
              <w:rPr>
                <w:rFonts w:ascii="Times New Roman" w:hAnsi="Times New Roman" w:eastAsia="Times New Roman"/>
                <w:color w:val="1F1F1F"/>
                <w:sz w:val="20"/>
              </w:rPr>
              <w:t>Figure Source Data additional file with SHA-256 manifest</w:t>
            </w:r>
          </w:p>
        </w:tc>
      </w:tr>
      <w:tr>
        <w:tc>
          <w:tcPr>
            <w:tcW w:type="dxa" w:w="3386"/>
            <w:vAlign w:val="center"/>
          </w:tcPr>
          <w:p>
            <w:pPr>
              <w:spacing w:before="0" w:after="0" w:line="240" w:lineRule="auto"/>
            </w:pPr>
            <w:r>
              <w:rPr>
                <w:rFonts w:ascii="Times New Roman" w:hAnsi="Times New Roman" w:eastAsia="Times New Roman"/>
                <w:color w:val="1F1F1F"/>
                <w:sz w:val="20"/>
              </w:rPr>
              <w:t>Complete statistical results</w:t>
            </w:r>
          </w:p>
        </w:tc>
        <w:tc>
          <w:tcPr>
            <w:tcW w:type="dxa" w:w="5974"/>
            <w:vAlign w:val="center"/>
          </w:tcPr>
          <w:p>
            <w:pPr>
              <w:spacing w:before="0" w:after="0" w:line="240" w:lineRule="auto"/>
            </w:pPr>
            <w:r>
              <w:rPr>
                <w:rFonts w:ascii="Times New Roman" w:hAnsi="Times New Roman" w:eastAsia="Times New Roman"/>
                <w:color w:val="1F1F1F"/>
                <w:sz w:val="20"/>
              </w:rPr>
              <w:t>Full Statistical Results additional file with 12 gene-level branches and 12 sanitized design matrices</w:t>
            </w:r>
          </w:p>
        </w:tc>
      </w:tr>
      <w:tr>
        <w:tc>
          <w:tcPr>
            <w:tcW w:type="dxa" w:w="3386"/>
            <w:vAlign w:val="center"/>
          </w:tcPr>
          <w:p>
            <w:pPr>
              <w:spacing w:before="0" w:after="0" w:line="240" w:lineRule="auto"/>
            </w:pPr>
            <w:r>
              <w:rPr>
                <w:rFonts w:ascii="Times New Roman" w:hAnsi="Times New Roman" w:eastAsia="Times New Roman"/>
                <w:color w:val="1F1F1F"/>
                <w:sz w:val="20"/>
              </w:rPr>
              <w:t>Correlation-aware sensitivity</w:t>
            </w:r>
          </w:p>
        </w:tc>
        <w:tc>
          <w:tcPr>
            <w:tcW w:type="dxa" w:w="5974"/>
            <w:vAlign w:val="center"/>
          </w:tcPr>
          <w:p>
            <w:pPr>
              <w:spacing w:before="0" w:after="0" w:line="240" w:lineRule="auto"/>
            </w:pPr>
            <w:r>
              <w:rPr>
                <w:rFonts w:ascii="Times New Roman" w:hAnsi="Times New Roman" w:eastAsia="Times New Roman"/>
                <w:color w:val="1F1F1F"/>
                <w:sz w:val="20"/>
              </w:rPr>
              <w:t>Regulator Sensitivity additional file</w:t>
            </w:r>
          </w:p>
        </w:tc>
      </w:tr>
      <w:tr>
        <w:tc>
          <w:tcPr>
            <w:tcW w:type="dxa" w:w="3386"/>
            <w:vAlign w:val="center"/>
          </w:tcPr>
          <w:p>
            <w:pPr>
              <w:spacing w:before="0" w:after="0" w:line="240" w:lineRule="auto"/>
            </w:pPr>
            <w:r>
              <w:rPr>
                <w:rFonts w:ascii="Times New Roman" w:hAnsi="Times New Roman" w:eastAsia="Times New Roman"/>
                <w:color w:val="1F1F1F"/>
                <w:sz w:val="20"/>
              </w:rPr>
              <w:t>Analysis code and decisions</w:t>
            </w:r>
          </w:p>
        </w:tc>
        <w:tc>
          <w:tcPr>
            <w:tcW w:type="dxa" w:w="5974"/>
            <w:vAlign w:val="center"/>
          </w:tcPr>
          <w:p>
            <w:pPr>
              <w:spacing w:before="0" w:after="0" w:line="240" w:lineRule="auto"/>
            </w:pPr>
            <w:r>
              <w:rPr>
                <w:rFonts w:ascii="Courier New" w:hAnsi="Courier New" w:eastAsia="Courier New"/>
                <w:color w:val="1F1F1F"/>
                <w:sz w:val="19"/>
              </w:rPr>
              <w:t>https://github.com/1209433622cz-maker/sle-bcell-remodeling</w:t>
            </w:r>
          </w:p>
        </w:tc>
      </w:tr>
      <w:tr>
        <w:tc>
          <w:tcPr>
            <w:tcW w:type="dxa" w:w="3386"/>
            <w:vAlign w:val="center"/>
          </w:tcPr>
          <w:p>
            <w:pPr>
              <w:spacing w:before="0" w:after="0" w:line="240" w:lineRule="auto"/>
            </w:pPr>
            <w:r>
              <w:rPr>
                <w:rFonts w:ascii="Times New Roman" w:hAnsi="Times New Roman" w:eastAsia="Times New Roman"/>
                <w:color w:val="1F1F1F"/>
                <w:sz w:val="20"/>
              </w:rPr>
              <w:t>Environment reconstruction</w:t>
            </w:r>
          </w:p>
        </w:tc>
        <w:tc>
          <w:tcPr>
            <w:tcW w:type="dxa" w:w="5974"/>
            <w:vAlign w:val="center"/>
          </w:tcPr>
          <w:p>
            <w:pPr>
              <w:spacing w:before="0" w:after="0" w:line="240" w:lineRule="auto"/>
            </w:pPr>
            <w:r>
              <w:rPr>
                <w:rFonts w:ascii="Times New Roman" w:hAnsi="Times New Roman" w:eastAsia="Times New Roman"/>
                <w:color w:val="1F1F1F"/>
                <w:sz w:val="20"/>
              </w:rPr>
              <w:t xml:space="preserve">Pinned scientific and release environments documented in </w:t>
            </w:r>
            <w:r>
              <w:rPr>
                <w:rFonts w:ascii="Courier New" w:hAnsi="Courier New" w:eastAsia="Courier New"/>
                <w:color w:val="1F1F1F"/>
                <w:sz w:val="19"/>
              </w:rPr>
              <w:t>REPRODUCIBILITY.md</w:t>
            </w:r>
          </w:p>
        </w:tc>
      </w:tr>
      <w:tr>
        <w:tc>
          <w:tcPr>
            <w:tcW w:type="dxa" w:w="3386"/>
            <w:vAlign w:val="center"/>
          </w:tcPr>
          <w:p>
            <w:pPr>
              <w:spacing w:before="0" w:after="0" w:line="240" w:lineRule="auto"/>
            </w:pPr>
            <w:r>
              <w:rPr>
                <w:rFonts w:ascii="Times New Roman" w:hAnsi="Times New Roman" w:eastAsia="Times New Roman"/>
                <w:color w:val="1F1F1F"/>
                <w:sz w:val="20"/>
              </w:rPr>
              <w:t>Immutable archive</w:t>
            </w:r>
          </w:p>
        </w:tc>
        <w:tc>
          <w:tcPr>
            <w:tcW w:type="dxa" w:w="5974"/>
            <w:vAlign w:val="center"/>
          </w:tcPr>
          <w:p>
            <w:pPr>
              <w:spacing w:before="0" w:after="0" w:line="240" w:lineRule="auto"/>
            </w:pPr>
            <w:r>
              <w:rPr>
                <w:rFonts w:ascii="Times New Roman" w:hAnsi="Times New Roman" w:eastAsia="Times New Roman"/>
                <w:color w:val="1F1F1F"/>
                <w:sz w:val="20"/>
              </w:rPr>
              <w:t>Zenodo doi:10.5281/zenodo.22086892</w:t>
            </w:r>
          </w:p>
        </w:tc>
      </w:tr>
    </w:tbl>
    <w:p>
      <w:pPr>
        <w:spacing w:after="60"/>
      </w:pPr>
    </w:p>
    <w:p>
      <w:r>
        <w:br w:type="page"/>
      </w:r>
    </w:p>
    <w:p>
      <w:pPr>
        <w:pStyle w:val="Heading1"/>
      </w:pPr>
      <w:r>
        <w:rPr>
          <w:rFonts w:ascii="Times New Roman" w:hAnsi="Times New Roman" w:eastAsia="Times New Roman"/>
          <w:color w:val="1F1F1F"/>
          <w:sz w:val="28"/>
        </w:rPr>
        <w:t>Supplementary Table S7 | Statistical tests and multiplicity families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276"/>
        <w:gridCol w:w="1276"/>
        <w:gridCol w:w="1832"/>
        <w:gridCol w:w="1089"/>
        <w:gridCol w:w="2109"/>
        <w:gridCol w:w="1778"/>
      </w:tblGrid>
      <w:tr>
        <w:trPr>
          <w:tblHeader w:val="true"/>
        </w:trPr>
        <w:tc>
          <w:tcPr>
            <w:tcW w:type="dxa" w:w="1276"/>
            <w:vAlign w:val="center"/>
            <w:shd w:fill="E8EEF5"/>
          </w:tcPr>
          <w:p>
            <w:pPr>
              <w:spacing w:before="0" w:after="0" w:line="240" w:lineRule="auto"/>
            </w:pPr>
            <w:r>
              <w:rPr>
                <w:rFonts w:ascii="Times New Roman" w:hAnsi="Times New Roman" w:eastAsia="Times New Roman"/>
                <w:b/>
                <w:color w:val="1F1F1F"/>
                <w:sz w:val="17"/>
              </w:rPr>
              <w:t>Result family</w:t>
            </w:r>
          </w:p>
        </w:tc>
        <w:tc>
          <w:tcPr>
            <w:tcW w:type="dxa" w:w="1276"/>
            <w:vAlign w:val="center"/>
            <w:shd w:fill="E8EEF5"/>
          </w:tcPr>
          <w:p>
            <w:pPr>
              <w:spacing w:before="0" w:after="0" w:line="240" w:lineRule="auto"/>
            </w:pPr>
            <w:r>
              <w:rPr>
                <w:rFonts w:ascii="Times New Roman" w:hAnsi="Times New Roman" w:eastAsia="Times New Roman"/>
                <w:b/>
                <w:color w:val="1F1F1F"/>
                <w:sz w:val="17"/>
              </w:rPr>
              <w:t>Biological unit</w:t>
            </w:r>
          </w:p>
        </w:tc>
        <w:tc>
          <w:tcPr>
            <w:tcW w:type="dxa" w:w="1832"/>
            <w:vAlign w:val="center"/>
            <w:shd w:fill="E8EEF5"/>
          </w:tcPr>
          <w:p>
            <w:pPr>
              <w:spacing w:before="0" w:after="0" w:line="240" w:lineRule="auto"/>
            </w:pPr>
            <w:r>
              <w:rPr>
                <w:rFonts w:ascii="Times New Roman" w:hAnsi="Times New Roman" w:eastAsia="Times New Roman"/>
                <w:b/>
                <w:color w:val="1F1F1F"/>
                <w:sz w:val="17"/>
              </w:rPr>
              <w:t>Test or estimator</w:t>
            </w:r>
          </w:p>
        </w:tc>
        <w:tc>
          <w:tcPr>
            <w:tcW w:type="dxa" w:w="1089"/>
            <w:vAlign w:val="center"/>
            <w:shd w:fill="E8EEF5"/>
          </w:tcPr>
          <w:p>
            <w:pPr>
              <w:spacing w:before="0" w:after="0" w:line="240" w:lineRule="auto"/>
            </w:pPr>
            <w:r>
              <w:rPr>
                <w:rFonts w:ascii="Times New Roman" w:hAnsi="Times New Roman" w:eastAsia="Times New Roman"/>
                <w:b/>
                <w:color w:val="1F1F1F"/>
                <w:sz w:val="17"/>
              </w:rPr>
              <w:t>Sidedness</w:t>
            </w:r>
          </w:p>
        </w:tc>
        <w:tc>
          <w:tcPr>
            <w:tcW w:type="dxa" w:w="2109"/>
            <w:vAlign w:val="center"/>
            <w:shd w:fill="E8EEF5"/>
          </w:tcPr>
          <w:p>
            <w:pPr>
              <w:spacing w:before="0" w:after="0" w:line="240" w:lineRule="auto"/>
            </w:pPr>
            <w:r>
              <w:rPr>
                <w:rFonts w:ascii="Times New Roman" w:hAnsi="Times New Roman" w:eastAsia="Times New Roman"/>
                <w:b/>
                <w:color w:val="1F1F1F"/>
                <w:sz w:val="17"/>
              </w:rPr>
              <w:t>Multiplicity</w:t>
            </w:r>
          </w:p>
        </w:tc>
        <w:tc>
          <w:tcPr>
            <w:tcW w:type="dxa" w:w="1778"/>
            <w:vAlign w:val="center"/>
            <w:shd w:fill="E8EEF5"/>
          </w:tcPr>
          <w:p>
            <w:pPr>
              <w:spacing w:before="0" w:after="0" w:line="240" w:lineRule="auto"/>
            </w:pPr>
            <w:r>
              <w:rPr>
                <w:rFonts w:ascii="Times New Roman" w:hAnsi="Times New Roman" w:eastAsia="Times New Roman"/>
                <w:b/>
                <w:color w:val="1F1F1F"/>
                <w:sz w:val="17"/>
              </w:rPr>
              <w:t>Role</w:t>
            </w:r>
          </w:p>
        </w:tc>
      </w:tr>
      <w:tr>
        <w:tc>
          <w:tcPr>
            <w:tcW w:type="dxa" w:w="1276"/>
            <w:vAlign w:val="center"/>
          </w:tcPr>
          <w:p>
            <w:pPr>
              <w:spacing w:before="0" w:after="0" w:line="240" w:lineRule="auto"/>
            </w:pPr>
            <w:r>
              <w:rPr>
                <w:rFonts w:ascii="Times New Roman" w:hAnsi="Times New Roman" w:eastAsia="Times New Roman"/>
                <w:color w:val="1F1F1F"/>
                <w:sz w:val="17"/>
              </w:rPr>
              <w:t>B_ASC composition</w:t>
            </w:r>
          </w:p>
        </w:tc>
        <w:tc>
          <w:tcPr>
            <w:tcW w:type="dxa" w:w="1276"/>
            <w:vAlign w:val="center"/>
          </w:tcPr>
          <w:p>
            <w:pPr>
              <w:spacing w:before="0" w:after="0" w:line="240" w:lineRule="auto"/>
            </w:pPr>
            <w:r>
              <w:rPr>
                <w:rFonts w:ascii="Times New Roman" w:hAnsi="Times New Roman" w:eastAsia="Times New Roman"/>
                <w:color w:val="1F1F1F"/>
                <w:sz w:val="17"/>
              </w:rPr>
              <w:t>Sample-cohort stratum</w:t>
            </w:r>
          </w:p>
        </w:tc>
        <w:tc>
          <w:tcPr>
            <w:tcW w:type="dxa" w:w="1832"/>
            <w:vAlign w:val="center"/>
          </w:tcPr>
          <w:p>
            <w:pPr>
              <w:spacing w:before="0" w:after="0" w:line="240" w:lineRule="auto"/>
            </w:pPr>
            <w:r>
              <w:rPr>
                <w:rFonts w:ascii="Times New Roman" w:hAnsi="Times New Roman" w:eastAsia="Times New Roman"/>
                <w:color w:val="1F1F1F"/>
                <w:sz w:val="17"/>
              </w:rPr>
              <w:t>Beta-binomial Wald</w:t>
            </w:r>
          </w:p>
        </w:tc>
        <w:tc>
          <w:tcPr>
            <w:tcW w:type="dxa" w:w="1089"/>
            <w:vAlign w:val="center"/>
          </w:tcPr>
          <w:p>
            <w:pPr>
              <w:spacing w:before="0" w:after="0" w:line="240" w:lineRule="auto"/>
            </w:pPr>
            <w:r>
              <w:rPr>
                <w:rFonts w:ascii="Times New Roman" w:hAnsi="Times New Roman" w:eastAsia="Times New Roman"/>
                <w:color w:val="1F1F1F"/>
                <w:sz w:val="17"/>
              </w:rPr>
              <w:t>Two-sided</w:t>
            </w:r>
          </w:p>
        </w:tc>
        <w:tc>
          <w:tcPr>
            <w:tcW w:type="dxa" w:w="2109"/>
            <w:vAlign w:val="center"/>
          </w:tcPr>
          <w:p>
            <w:pPr>
              <w:spacing w:before="0" w:after="0" w:line="240" w:lineRule="auto"/>
            </w:pPr>
            <w:r>
              <w:rPr>
                <w:rFonts w:ascii="Times New Roman" w:hAnsi="Times New Roman" w:eastAsia="Times New Roman"/>
                <w:color w:val="1F1F1F"/>
                <w:sz w:val="17"/>
              </w:rPr>
              <w:t>BH across three frozen base contrasts</w:t>
            </w:r>
          </w:p>
        </w:tc>
        <w:tc>
          <w:tcPr>
            <w:tcW w:type="dxa" w:w="1778"/>
            <w:vAlign w:val="center"/>
          </w:tcPr>
          <w:p>
            <w:pPr>
              <w:spacing w:before="0" w:after="0" w:line="240" w:lineRule="auto"/>
            </w:pPr>
            <w:r>
              <w:rPr>
                <w:rFonts w:ascii="Times New Roman" w:hAnsi="Times New Roman" w:eastAsia="Times New Roman"/>
                <w:color w:val="1F1F1F"/>
                <w:sz w:val="17"/>
              </w:rPr>
              <w:t>Primary composition inference</w:t>
            </w:r>
          </w:p>
        </w:tc>
      </w:tr>
      <w:tr>
        <w:tc>
          <w:tcPr>
            <w:tcW w:type="dxa" w:w="1276"/>
            <w:vAlign w:val="center"/>
          </w:tcPr>
          <w:p>
            <w:pPr>
              <w:spacing w:before="0" w:after="0" w:line="240" w:lineRule="auto"/>
            </w:pPr>
            <w:r>
              <w:rPr>
                <w:rFonts w:ascii="Times New Roman" w:hAnsi="Times New Roman" w:eastAsia="Times New Roman"/>
                <w:color w:val="1F1F1F"/>
                <w:sz w:val="17"/>
              </w:rPr>
              <w:t>Gene-level expression</w:t>
            </w:r>
          </w:p>
        </w:tc>
        <w:tc>
          <w:tcPr>
            <w:tcW w:type="dxa" w:w="1276"/>
            <w:vAlign w:val="center"/>
          </w:tcPr>
          <w:p>
            <w:pPr>
              <w:spacing w:before="0" w:after="0" w:line="240" w:lineRule="auto"/>
            </w:pPr>
            <w:r>
              <w:rPr>
                <w:rFonts w:ascii="Times New Roman" w:hAnsi="Times New Roman" w:eastAsia="Times New Roman"/>
                <w:color w:val="1F1F1F"/>
                <w:sz w:val="17"/>
              </w:rPr>
              <w:t>Donor/sample pseudobulk</w:t>
            </w:r>
          </w:p>
        </w:tc>
        <w:tc>
          <w:tcPr>
            <w:tcW w:type="dxa" w:w="1832"/>
            <w:vAlign w:val="center"/>
          </w:tcPr>
          <w:p>
            <w:pPr>
              <w:spacing w:before="0" w:after="0" w:line="240" w:lineRule="auto"/>
            </w:pPr>
            <w:r>
              <w:rPr>
                <w:rFonts w:ascii="Times New Roman" w:hAnsi="Times New Roman" w:eastAsia="Times New Roman"/>
                <w:color w:val="1F1F1F"/>
                <w:sz w:val="17"/>
              </w:rPr>
              <w:t>edgeR robust quasi-likelihood F</w:t>
            </w:r>
          </w:p>
        </w:tc>
        <w:tc>
          <w:tcPr>
            <w:tcW w:type="dxa" w:w="1089"/>
            <w:vAlign w:val="center"/>
          </w:tcPr>
          <w:p>
            <w:pPr>
              <w:spacing w:before="0" w:after="0" w:line="240" w:lineRule="auto"/>
            </w:pPr>
            <w:r>
              <w:rPr>
                <w:rFonts w:ascii="Times New Roman" w:hAnsi="Times New Roman" w:eastAsia="Times New Roman"/>
                <w:color w:val="1F1F1F"/>
                <w:sz w:val="17"/>
              </w:rPr>
              <w:t>Two-sided</w:t>
            </w:r>
          </w:p>
        </w:tc>
        <w:tc>
          <w:tcPr>
            <w:tcW w:type="dxa" w:w="2109"/>
            <w:vAlign w:val="center"/>
          </w:tcPr>
          <w:p>
            <w:pPr>
              <w:spacing w:before="0" w:after="0" w:line="240" w:lineRule="auto"/>
            </w:pPr>
            <w:r>
              <w:rPr>
                <w:rFonts w:ascii="Times New Roman" w:hAnsi="Times New Roman" w:eastAsia="Times New Roman"/>
                <w:color w:val="1F1F1F"/>
                <w:sz w:val="17"/>
              </w:rPr>
              <w:t>BH within tested genes per contrast</w:t>
            </w:r>
          </w:p>
        </w:tc>
        <w:tc>
          <w:tcPr>
            <w:tcW w:type="dxa" w:w="1778"/>
            <w:vAlign w:val="center"/>
          </w:tcPr>
          <w:p>
            <w:pPr>
              <w:spacing w:before="0" w:after="0" w:line="240" w:lineRule="auto"/>
            </w:pPr>
            <w:r>
              <w:rPr>
                <w:rFonts w:ascii="Times New Roman" w:hAnsi="Times New Roman" w:eastAsia="Times New Roman"/>
                <w:color w:val="1F1F1F"/>
                <w:sz w:val="17"/>
              </w:rPr>
              <w:t>Gene-level inference</w:t>
            </w:r>
          </w:p>
        </w:tc>
      </w:tr>
      <w:tr>
        <w:tc>
          <w:tcPr>
            <w:tcW w:type="dxa" w:w="1276"/>
            <w:vAlign w:val="center"/>
          </w:tcPr>
          <w:p>
            <w:pPr>
              <w:spacing w:before="0" w:after="0" w:line="240" w:lineRule="auto"/>
            </w:pPr>
            <w:r>
              <w:rPr>
                <w:rFonts w:ascii="Times New Roman" w:hAnsi="Times New Roman" w:eastAsia="Times New Roman"/>
                <w:color w:val="1F1F1F"/>
                <w:sz w:val="17"/>
              </w:rPr>
              <w:t>Four frozen programs</w:t>
            </w:r>
          </w:p>
        </w:tc>
        <w:tc>
          <w:tcPr>
            <w:tcW w:type="dxa" w:w="1276"/>
            <w:vAlign w:val="center"/>
          </w:tcPr>
          <w:p>
            <w:pPr>
              <w:spacing w:before="0" w:after="0" w:line="240" w:lineRule="auto"/>
            </w:pPr>
            <w:r>
              <w:rPr>
                <w:rFonts w:ascii="Times New Roman" w:hAnsi="Times New Roman" w:eastAsia="Times New Roman"/>
                <w:color w:val="1F1F1F"/>
                <w:sz w:val="17"/>
              </w:rPr>
              <w:t>Donor/sample pseudobulk</w:t>
            </w:r>
          </w:p>
        </w:tc>
        <w:tc>
          <w:tcPr>
            <w:tcW w:type="dxa" w:w="1832"/>
            <w:vAlign w:val="center"/>
          </w:tcPr>
          <w:p>
            <w:pPr>
              <w:spacing w:before="0" w:after="0" w:line="240" w:lineRule="auto"/>
            </w:pPr>
            <w:r>
              <w:rPr>
                <w:rFonts w:ascii="Times New Roman" w:hAnsi="Times New Roman" w:eastAsia="Times New Roman"/>
                <w:color w:val="1F1F1F"/>
                <w:sz w:val="17"/>
              </w:rPr>
              <w:t>OLS with HC3</w:t>
            </w:r>
          </w:p>
        </w:tc>
        <w:tc>
          <w:tcPr>
            <w:tcW w:type="dxa" w:w="1089"/>
            <w:vAlign w:val="center"/>
          </w:tcPr>
          <w:p>
            <w:pPr>
              <w:spacing w:before="0" w:after="0" w:line="240" w:lineRule="auto"/>
            </w:pPr>
            <w:r>
              <w:rPr>
                <w:rFonts w:ascii="Times New Roman" w:hAnsi="Times New Roman" w:eastAsia="Times New Roman"/>
                <w:color w:val="1F1F1F"/>
                <w:sz w:val="17"/>
              </w:rPr>
              <w:t>Two-sided</w:t>
            </w:r>
          </w:p>
        </w:tc>
        <w:tc>
          <w:tcPr>
            <w:tcW w:type="dxa" w:w="2109"/>
            <w:vAlign w:val="center"/>
          </w:tcPr>
          <w:p>
            <w:pPr>
              <w:spacing w:before="0" w:after="0" w:line="240" w:lineRule="auto"/>
            </w:pPr>
            <w:r>
              <w:rPr>
                <w:rFonts w:ascii="Times New Roman" w:hAnsi="Times New Roman" w:eastAsia="Times New Roman"/>
                <w:color w:val="1F1F1F"/>
                <w:sz w:val="17"/>
              </w:rPr>
              <w:t>BH across four programs per analysis</w:t>
            </w:r>
          </w:p>
        </w:tc>
        <w:tc>
          <w:tcPr>
            <w:tcW w:type="dxa" w:w="1778"/>
            <w:vAlign w:val="center"/>
          </w:tcPr>
          <w:p>
            <w:pPr>
              <w:spacing w:before="0" w:after="0" w:line="240" w:lineRule="auto"/>
            </w:pPr>
            <w:r>
              <w:rPr>
                <w:rFonts w:ascii="Times New Roman" w:hAnsi="Times New Roman" w:eastAsia="Times New Roman"/>
                <w:color w:val="1F1F1F"/>
                <w:sz w:val="17"/>
              </w:rPr>
              <w:t>Program inference</w:t>
            </w:r>
          </w:p>
        </w:tc>
      </w:tr>
      <w:tr>
        <w:tc>
          <w:tcPr>
            <w:tcW w:type="dxa" w:w="1276"/>
            <w:vAlign w:val="center"/>
          </w:tcPr>
          <w:p>
            <w:pPr>
              <w:spacing w:before="0" w:after="0" w:line="240" w:lineRule="auto"/>
            </w:pPr>
            <w:r>
              <w:rPr>
                <w:rFonts w:ascii="Times New Roman" w:hAnsi="Times New Roman" w:eastAsia="Times New Roman"/>
                <w:color w:val="1F1F1F"/>
                <w:sz w:val="17"/>
              </w:rPr>
              <w:t>TF-target activity</w:t>
            </w:r>
          </w:p>
        </w:tc>
        <w:tc>
          <w:tcPr>
            <w:tcW w:type="dxa" w:w="1276"/>
            <w:vAlign w:val="center"/>
          </w:tcPr>
          <w:p>
            <w:pPr>
              <w:spacing w:before="0" w:after="0" w:line="240" w:lineRule="auto"/>
            </w:pPr>
            <w:r>
              <w:rPr>
                <w:rFonts w:ascii="Times New Roman" w:hAnsi="Times New Roman" w:eastAsia="Times New Roman"/>
                <w:color w:val="1F1F1F"/>
                <w:sz w:val="17"/>
              </w:rPr>
              <w:t>Ranked gene statistics</w:t>
            </w:r>
          </w:p>
        </w:tc>
        <w:tc>
          <w:tcPr>
            <w:tcW w:type="dxa" w:w="1832"/>
            <w:vAlign w:val="center"/>
          </w:tcPr>
          <w:p>
            <w:pPr>
              <w:spacing w:before="0" w:after="0" w:line="240" w:lineRule="auto"/>
            </w:pPr>
            <w:r>
              <w:rPr>
                <w:rFonts w:ascii="Times New Roman" w:hAnsi="Times New Roman" w:eastAsia="Times New Roman"/>
                <w:color w:val="1F1F1F"/>
                <w:sz w:val="17"/>
              </w:rPr>
              <w:t>Signed-target slope t test</w:t>
            </w:r>
          </w:p>
        </w:tc>
        <w:tc>
          <w:tcPr>
            <w:tcW w:type="dxa" w:w="1089"/>
            <w:vAlign w:val="center"/>
          </w:tcPr>
          <w:p>
            <w:pPr>
              <w:spacing w:before="0" w:after="0" w:line="240" w:lineRule="auto"/>
            </w:pPr>
            <w:r>
              <w:rPr>
                <w:rFonts w:ascii="Times New Roman" w:hAnsi="Times New Roman" w:eastAsia="Times New Roman"/>
                <w:color w:val="1F1F1F"/>
                <w:sz w:val="17"/>
              </w:rPr>
              <w:t>Two-sided</w:t>
            </w:r>
          </w:p>
        </w:tc>
        <w:tc>
          <w:tcPr>
            <w:tcW w:type="dxa" w:w="2109"/>
            <w:vAlign w:val="center"/>
          </w:tcPr>
          <w:p>
            <w:pPr>
              <w:spacing w:before="0" w:after="0" w:line="240" w:lineRule="auto"/>
            </w:pPr>
            <w:r>
              <w:rPr>
                <w:rFonts w:ascii="Times New Roman" w:hAnsi="Times New Roman" w:eastAsia="Times New Roman"/>
                <w:color w:val="1F1F1F"/>
                <w:sz w:val="17"/>
              </w:rPr>
              <w:t>Global BH across 24 tests</w:t>
            </w:r>
          </w:p>
        </w:tc>
        <w:tc>
          <w:tcPr>
            <w:tcW w:type="dxa" w:w="1778"/>
            <w:vAlign w:val="center"/>
          </w:tcPr>
          <w:p>
            <w:pPr>
              <w:spacing w:before="0" w:after="0" w:line="240" w:lineRule="auto"/>
            </w:pPr>
            <w:r>
              <w:rPr>
                <w:rFonts w:ascii="Times New Roman" w:hAnsi="Times New Roman" w:eastAsia="Times New Roman"/>
                <w:color w:val="1F1F1F"/>
                <w:sz w:val="17"/>
              </w:rPr>
              <w:t>Confirmatory regulatory evidence</w:t>
            </w:r>
          </w:p>
        </w:tc>
      </w:tr>
      <w:tr>
        <w:tc>
          <w:tcPr>
            <w:tcW w:type="dxa" w:w="1276"/>
            <w:vAlign w:val="center"/>
          </w:tcPr>
          <w:p>
            <w:pPr>
              <w:spacing w:before="0" w:after="0" w:line="240" w:lineRule="auto"/>
            </w:pPr>
            <w:r>
              <w:rPr>
                <w:rFonts w:ascii="Times New Roman" w:hAnsi="Times New Roman" w:eastAsia="Times New Roman"/>
                <w:color w:val="1F1F1F"/>
                <w:sz w:val="17"/>
              </w:rPr>
              <w:t>STAT1/STAT2 sensitivity</w:t>
            </w:r>
          </w:p>
        </w:tc>
        <w:tc>
          <w:tcPr>
            <w:tcW w:type="dxa" w:w="1276"/>
            <w:vAlign w:val="center"/>
          </w:tcPr>
          <w:p>
            <w:pPr>
              <w:spacing w:before="0" w:after="0" w:line="240" w:lineRule="auto"/>
            </w:pPr>
            <w:r>
              <w:rPr>
                <w:rFonts w:ascii="Times New Roman" w:hAnsi="Times New Roman" w:eastAsia="Times New Roman"/>
                <w:color w:val="1F1F1F"/>
                <w:sz w:val="17"/>
              </w:rPr>
              <w:t>Ranked gene statistics</w:t>
            </w:r>
          </w:p>
        </w:tc>
        <w:tc>
          <w:tcPr>
            <w:tcW w:type="dxa" w:w="1832"/>
            <w:vAlign w:val="center"/>
          </w:tcPr>
          <w:p>
            <w:pPr>
              <w:spacing w:before="0" w:after="0" w:line="240" w:lineRule="auto"/>
            </w:pPr>
            <w:r>
              <w:rPr>
                <w:rFonts w:ascii="Times New Roman" w:hAnsi="Times New Roman" w:eastAsia="Times New Roman"/>
                <w:color w:val="1F1F1F"/>
                <w:sz w:val="17"/>
              </w:rPr>
              <w:t>CAMERA and FRY</w:t>
            </w:r>
          </w:p>
        </w:tc>
        <w:tc>
          <w:tcPr>
            <w:tcW w:type="dxa" w:w="1089"/>
            <w:vAlign w:val="center"/>
          </w:tcPr>
          <w:p>
            <w:pPr>
              <w:spacing w:before="0" w:after="0" w:line="240" w:lineRule="auto"/>
            </w:pPr>
            <w:r>
              <w:rPr>
                <w:rFonts w:ascii="Times New Roman" w:hAnsi="Times New Roman" w:eastAsia="Times New Roman"/>
                <w:color w:val="1F1F1F"/>
                <w:sz w:val="17"/>
              </w:rPr>
              <w:t>Positive-direction</w:t>
            </w:r>
          </w:p>
        </w:tc>
        <w:tc>
          <w:tcPr>
            <w:tcW w:type="dxa" w:w="2109"/>
            <w:vAlign w:val="center"/>
          </w:tcPr>
          <w:p>
            <w:pPr>
              <w:spacing w:before="0" w:after="0" w:line="240" w:lineRule="auto"/>
            </w:pPr>
            <w:r>
              <w:rPr>
                <w:rFonts w:ascii="Times New Roman" w:hAnsi="Times New Roman" w:eastAsia="Times New Roman"/>
                <w:color w:val="1F1F1F"/>
                <w:sz w:val="17"/>
              </w:rPr>
              <w:t>Separate BH families of six per method</w:t>
            </w:r>
          </w:p>
        </w:tc>
        <w:tc>
          <w:tcPr>
            <w:tcW w:type="dxa" w:w="1778"/>
            <w:vAlign w:val="center"/>
          </w:tcPr>
          <w:p>
            <w:pPr>
              <w:spacing w:before="0" w:after="0" w:line="240" w:lineRule="auto"/>
            </w:pPr>
            <w:r>
              <w:rPr>
                <w:rFonts w:ascii="Times New Roman" w:hAnsi="Times New Roman" w:eastAsia="Times New Roman"/>
                <w:color w:val="1F1F1F"/>
                <w:sz w:val="17"/>
              </w:rPr>
              <w:t>Correlation-aware sensitivity</w:t>
            </w:r>
          </w:p>
        </w:tc>
      </w:tr>
      <w:tr>
        <w:tc>
          <w:tcPr>
            <w:tcW w:type="dxa" w:w="1276"/>
            <w:vAlign w:val="center"/>
          </w:tcPr>
          <w:p>
            <w:pPr>
              <w:spacing w:before="0" w:after="0" w:line="240" w:lineRule="auto"/>
            </w:pPr>
            <w:r>
              <w:rPr>
                <w:rFonts w:ascii="Times New Roman" w:hAnsi="Times New Roman" w:eastAsia="Times New Roman"/>
                <w:color w:val="1F1F1F"/>
                <w:sz w:val="17"/>
              </w:rPr>
              <w:t>M5911</w:t>
            </w:r>
          </w:p>
        </w:tc>
        <w:tc>
          <w:tcPr>
            <w:tcW w:type="dxa" w:w="1276"/>
            <w:vAlign w:val="center"/>
          </w:tcPr>
          <w:p>
            <w:pPr>
              <w:spacing w:before="0" w:after="0" w:line="240" w:lineRule="auto"/>
            </w:pPr>
            <w:r>
              <w:rPr>
                <w:rFonts w:ascii="Times New Roman" w:hAnsi="Times New Roman" w:eastAsia="Times New Roman"/>
                <w:color w:val="1F1F1F"/>
                <w:sz w:val="17"/>
              </w:rPr>
              <w:t>Ranked gene statistics</w:t>
            </w:r>
          </w:p>
        </w:tc>
        <w:tc>
          <w:tcPr>
            <w:tcW w:type="dxa" w:w="1832"/>
            <w:vAlign w:val="center"/>
          </w:tcPr>
          <w:p>
            <w:pPr>
              <w:spacing w:before="0" w:after="0" w:line="240" w:lineRule="auto"/>
            </w:pPr>
            <w:r>
              <w:rPr>
                <w:rFonts w:ascii="Times New Roman" w:hAnsi="Times New Roman" w:eastAsia="Times New Roman"/>
                <w:color w:val="1F1F1F"/>
                <w:sz w:val="17"/>
              </w:rPr>
              <w:t>10,000-permutation preranked test</w:t>
            </w:r>
          </w:p>
        </w:tc>
        <w:tc>
          <w:tcPr>
            <w:tcW w:type="dxa" w:w="1089"/>
            <w:vAlign w:val="center"/>
          </w:tcPr>
          <w:p>
            <w:pPr>
              <w:spacing w:before="0" w:after="0" w:line="240" w:lineRule="auto"/>
            </w:pPr>
            <w:r>
              <w:rPr>
                <w:rFonts w:ascii="Times New Roman" w:hAnsi="Times New Roman" w:eastAsia="Times New Roman"/>
                <w:color w:val="1F1F1F"/>
                <w:sz w:val="17"/>
              </w:rPr>
              <w:t>Positive-direction</w:t>
            </w:r>
          </w:p>
        </w:tc>
        <w:tc>
          <w:tcPr>
            <w:tcW w:type="dxa" w:w="2109"/>
            <w:vAlign w:val="center"/>
          </w:tcPr>
          <w:p>
            <w:pPr>
              <w:spacing w:before="0" w:after="0" w:line="240" w:lineRule="auto"/>
            </w:pPr>
            <w:r>
              <w:rPr>
                <w:rFonts w:ascii="Times New Roman" w:hAnsi="Times New Roman" w:eastAsia="Times New Roman"/>
                <w:color w:val="1F1F1F"/>
                <w:sz w:val="17"/>
              </w:rPr>
              <w:t>Descriptive BH across three contrasts</w:t>
            </w:r>
          </w:p>
        </w:tc>
        <w:tc>
          <w:tcPr>
            <w:tcW w:type="dxa" w:w="1778"/>
            <w:vAlign w:val="center"/>
          </w:tcPr>
          <w:p>
            <w:pPr>
              <w:spacing w:before="0" w:after="0" w:line="240" w:lineRule="auto"/>
            </w:pPr>
            <w:r>
              <w:rPr>
                <w:rFonts w:ascii="Times New Roman" w:hAnsi="Times New Roman" w:eastAsia="Times New Roman"/>
                <w:color w:val="1F1F1F"/>
                <w:sz w:val="17"/>
              </w:rPr>
              <w:t>Orthogonal support</w:t>
            </w:r>
          </w:p>
        </w:tc>
      </w:tr>
      <w:tr>
        <w:tc>
          <w:tcPr>
            <w:tcW w:type="dxa" w:w="1276"/>
            <w:vAlign w:val="center"/>
          </w:tcPr>
          <w:p>
            <w:pPr>
              <w:spacing w:before="0" w:after="0" w:line="240" w:lineRule="auto"/>
            </w:pPr>
            <w:r>
              <w:rPr>
                <w:rFonts w:ascii="Times New Roman" w:hAnsi="Times New Roman" w:eastAsia="Times New Roman"/>
                <w:color w:val="1F1F1F"/>
                <w:sz w:val="17"/>
              </w:rPr>
              <w:t>GSE23307</w:t>
            </w:r>
          </w:p>
        </w:tc>
        <w:tc>
          <w:tcPr>
            <w:tcW w:type="dxa" w:w="1276"/>
            <w:vAlign w:val="center"/>
          </w:tcPr>
          <w:p>
            <w:pPr>
              <w:spacing w:before="0" w:after="0" w:line="240" w:lineRule="auto"/>
            </w:pPr>
            <w:r>
              <w:rPr>
                <w:rFonts w:ascii="Times New Roman" w:hAnsi="Times New Roman" w:eastAsia="Times New Roman"/>
                <w:color w:val="1F1F1F"/>
                <w:sz w:val="17"/>
              </w:rPr>
              <w:t>Paired donor</w:t>
            </w:r>
          </w:p>
        </w:tc>
        <w:tc>
          <w:tcPr>
            <w:tcW w:type="dxa" w:w="1832"/>
            <w:vAlign w:val="center"/>
          </w:tcPr>
          <w:p>
            <w:pPr>
              <w:spacing w:before="0" w:after="0" w:line="240" w:lineRule="auto"/>
            </w:pPr>
            <w:r>
              <w:rPr>
                <w:rFonts w:ascii="Times New Roman" w:hAnsi="Times New Roman" w:eastAsia="Times New Roman"/>
                <w:color w:val="1F1F1F"/>
                <w:sz w:val="17"/>
              </w:rPr>
              <w:t>Mean paired log2(x+1) effect</w:t>
            </w:r>
          </w:p>
        </w:tc>
        <w:tc>
          <w:tcPr>
            <w:tcW w:type="dxa" w:w="1089"/>
            <w:vAlign w:val="center"/>
          </w:tcPr>
          <w:p>
            <w:pPr>
              <w:spacing w:before="0" w:after="0" w:line="240" w:lineRule="auto"/>
            </w:pPr>
            <w:r>
              <w:rPr>
                <w:rFonts w:ascii="Times New Roman" w:hAnsi="Times New Roman" w:eastAsia="Times New Roman"/>
                <w:color w:val="1F1F1F"/>
                <w:sz w:val="17"/>
              </w:rPr>
              <w:t>Not tested</w:t>
            </w:r>
          </w:p>
        </w:tc>
        <w:tc>
          <w:tcPr>
            <w:tcW w:type="dxa" w:w="2109"/>
            <w:vAlign w:val="center"/>
          </w:tcPr>
          <w:p>
            <w:pPr>
              <w:spacing w:before="0" w:after="0" w:line="240" w:lineRule="auto"/>
            </w:pPr>
            <w:r>
              <w:rPr>
                <w:rFonts w:ascii="Times New Roman" w:hAnsi="Times New Roman" w:eastAsia="Times New Roman"/>
                <w:color w:val="1F1F1F"/>
                <w:sz w:val="17"/>
              </w:rPr>
              <w:t>None; n=2</w:t>
            </w:r>
          </w:p>
        </w:tc>
        <w:tc>
          <w:tcPr>
            <w:tcW w:type="dxa" w:w="1778"/>
            <w:vAlign w:val="center"/>
          </w:tcPr>
          <w:p>
            <w:pPr>
              <w:spacing w:before="0" w:after="0" w:line="240" w:lineRule="auto"/>
            </w:pPr>
            <w:r>
              <w:rPr>
                <w:rFonts w:ascii="Times New Roman" w:hAnsi="Times New Roman" w:eastAsia="Times New Roman"/>
                <w:color w:val="1F1F1F"/>
                <w:sz w:val="17"/>
              </w:rPr>
              <w:t>Descriptive perturbation</w:t>
            </w:r>
          </w:p>
        </w:tc>
      </w:tr>
    </w:tbl>
    <w:p>
      <w:pPr>
        <w:spacing w:after="60"/>
      </w:pPr>
    </w:p>
    <w:p>
      <w:r>
        <w:br w:type="page"/>
      </w:r>
    </w:p>
    <w:p>
      <w:pPr>
        <w:pStyle w:val="Heading1"/>
      </w:pPr>
      <w:r>
        <w:rPr>
          <w:rFonts w:ascii="Times New Roman" w:hAnsi="Times New Roman" w:eastAsia="Times New Roman"/>
          <w:color w:val="1F1F1F"/>
          <w:sz w:val="28"/>
        </w:rPr>
        <w:t>Supplementary Table S8 | Full statistical-results archive map</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2433"/>
        <w:gridCol w:w="5840"/>
        <w:gridCol w:w="1087"/>
      </w:tblGrid>
      <w:tr>
        <w:trPr>
          <w:tblHeader w:val="true"/>
        </w:trPr>
        <w:tc>
          <w:tcPr>
            <w:tcW w:type="dxa" w:w="2433"/>
            <w:vAlign w:val="center"/>
            <w:shd w:fill="E8EEF5"/>
          </w:tcPr>
          <w:p>
            <w:pPr>
              <w:spacing w:before="0" w:after="0" w:line="240" w:lineRule="auto"/>
            </w:pPr>
            <w:r>
              <w:rPr>
                <w:rFonts w:ascii="Times New Roman" w:hAnsi="Times New Roman" w:eastAsia="Times New Roman"/>
                <w:b/>
                <w:color w:val="1F1F1F"/>
                <w:sz w:val="20"/>
              </w:rPr>
              <w:t>Directory</w:t>
            </w:r>
          </w:p>
        </w:tc>
        <w:tc>
          <w:tcPr>
            <w:tcW w:type="dxa" w:w="5840"/>
            <w:vAlign w:val="center"/>
            <w:shd w:fill="E8EEF5"/>
          </w:tcPr>
          <w:p>
            <w:pPr>
              <w:spacing w:before="0" w:after="0" w:line="240" w:lineRule="auto"/>
            </w:pPr>
            <w:r>
              <w:rPr>
                <w:rFonts w:ascii="Times New Roman" w:hAnsi="Times New Roman" w:eastAsia="Times New Roman"/>
                <w:b/>
                <w:color w:val="1F1F1F"/>
                <w:sz w:val="20"/>
              </w:rPr>
              <w:t>Contents</w:t>
            </w:r>
          </w:p>
        </w:tc>
        <w:tc>
          <w:tcPr>
            <w:tcW w:type="dxa" w:w="1087"/>
            <w:vAlign w:val="center"/>
            <w:shd w:fill="E8EEF5"/>
          </w:tcPr>
          <w:p>
            <w:pPr>
              <w:spacing w:before="0" w:after="0" w:line="240" w:lineRule="auto"/>
            </w:pPr>
            <w:r>
              <w:rPr>
                <w:rFonts w:ascii="Times New Roman" w:hAnsi="Times New Roman" w:eastAsia="Times New Roman"/>
                <w:b/>
                <w:color w:val="1F1F1F"/>
                <w:sz w:val="20"/>
              </w:rPr>
              <w:t>Files</w:t>
            </w:r>
          </w:p>
        </w:tc>
      </w:tr>
      <w:tr>
        <w:tc>
          <w:tcPr>
            <w:tcW w:type="dxa" w:w="2433"/>
            <w:vAlign w:val="center"/>
          </w:tcPr>
          <w:p>
            <w:pPr>
              <w:spacing w:before="0" w:after="0" w:line="240" w:lineRule="auto"/>
            </w:pPr>
            <w:r>
              <w:rPr>
                <w:rFonts w:ascii="Times New Roman" w:hAnsi="Times New Roman" w:eastAsia="Times New Roman"/>
                <w:color w:val="1F1F1F"/>
                <w:sz w:val="20"/>
              </w:rPr>
              <w:t>gene_level_results</w:t>
            </w:r>
          </w:p>
        </w:tc>
        <w:tc>
          <w:tcPr>
            <w:tcW w:type="dxa" w:w="5840"/>
            <w:vAlign w:val="center"/>
          </w:tcPr>
          <w:p>
            <w:pPr>
              <w:spacing w:before="0" w:after="0" w:line="240" w:lineRule="auto"/>
            </w:pPr>
            <w:r>
              <w:rPr>
                <w:rFonts w:ascii="Times New Roman" w:hAnsi="Times New Roman" w:eastAsia="Times New Roman"/>
                <w:color w:val="1F1F1F"/>
                <w:sz w:val="20"/>
              </w:rPr>
              <w:t>Complete filterByExpr gene results for GSE174188 and GSE135779 branches</w:t>
            </w:r>
          </w:p>
        </w:tc>
        <w:tc>
          <w:tcPr>
            <w:tcW w:type="dxa" w:w="1087"/>
            <w:vAlign w:val="center"/>
          </w:tcPr>
          <w:p>
            <w:pPr>
              <w:spacing w:before="0" w:after="0" w:line="240" w:lineRule="auto"/>
            </w:pPr>
            <w:r>
              <w:rPr>
                <w:rFonts w:ascii="Times New Roman" w:hAnsi="Times New Roman" w:eastAsia="Times New Roman"/>
                <w:color w:val="1F1F1F"/>
                <w:sz w:val="20"/>
              </w:rPr>
              <w:t>12</w:t>
            </w:r>
          </w:p>
        </w:tc>
      </w:tr>
      <w:tr>
        <w:tc>
          <w:tcPr>
            <w:tcW w:type="dxa" w:w="2433"/>
            <w:vAlign w:val="center"/>
          </w:tcPr>
          <w:p>
            <w:pPr>
              <w:spacing w:before="0" w:after="0" w:line="240" w:lineRule="auto"/>
            </w:pPr>
            <w:r>
              <w:rPr>
                <w:rFonts w:ascii="Times New Roman" w:hAnsi="Times New Roman" w:eastAsia="Times New Roman"/>
                <w:color w:val="1F1F1F"/>
                <w:sz w:val="20"/>
              </w:rPr>
              <w:t>sanitized_design_matrices</w:t>
            </w:r>
          </w:p>
        </w:tc>
        <w:tc>
          <w:tcPr>
            <w:tcW w:type="dxa" w:w="5840"/>
            <w:vAlign w:val="center"/>
          </w:tcPr>
          <w:p>
            <w:pPr>
              <w:spacing w:before="0" w:after="0" w:line="240" w:lineRule="auto"/>
            </w:pPr>
            <w:r>
              <w:rPr>
                <w:rFonts w:ascii="Times New Roman" w:hAnsi="Times New Roman" w:eastAsia="Times New Roman"/>
                <w:color w:val="1F1F1F"/>
                <w:sz w:val="20"/>
              </w:rPr>
              <w:t>Direct-identifier-free analysis designs</w:t>
            </w:r>
          </w:p>
        </w:tc>
        <w:tc>
          <w:tcPr>
            <w:tcW w:type="dxa" w:w="1087"/>
            <w:vAlign w:val="center"/>
          </w:tcPr>
          <w:p>
            <w:pPr>
              <w:spacing w:before="0" w:after="0" w:line="240" w:lineRule="auto"/>
            </w:pPr>
            <w:r>
              <w:rPr>
                <w:rFonts w:ascii="Times New Roman" w:hAnsi="Times New Roman" w:eastAsia="Times New Roman"/>
                <w:color w:val="1F1F1F"/>
                <w:sz w:val="20"/>
              </w:rPr>
              <w:t>12</w:t>
            </w:r>
          </w:p>
        </w:tc>
      </w:tr>
      <w:tr>
        <w:tc>
          <w:tcPr>
            <w:tcW w:type="dxa" w:w="2433"/>
            <w:vAlign w:val="center"/>
          </w:tcPr>
          <w:p>
            <w:pPr>
              <w:spacing w:before="0" w:after="0" w:line="240" w:lineRule="auto"/>
            </w:pPr>
            <w:r>
              <w:rPr>
                <w:rFonts w:ascii="Times New Roman" w:hAnsi="Times New Roman" w:eastAsia="Times New Roman"/>
                <w:color w:val="1F1F1F"/>
                <w:sz w:val="20"/>
              </w:rPr>
              <w:t>composition</w:t>
            </w:r>
          </w:p>
        </w:tc>
        <w:tc>
          <w:tcPr>
            <w:tcW w:type="dxa" w:w="5840"/>
            <w:vAlign w:val="center"/>
          </w:tcPr>
          <w:p>
            <w:pPr>
              <w:spacing w:before="0" w:after="0" w:line="240" w:lineRule="auto"/>
            </w:pPr>
            <w:r>
              <w:rPr>
                <w:rFonts w:ascii="Times New Roman" w:hAnsi="Times New Roman" w:eastAsia="Times New Roman"/>
                <w:color w:val="1F1F1F"/>
                <w:sz w:val="20"/>
              </w:rPr>
              <w:t>Frozen coefficients, contrasts, predictions, sensitivities, leave-one-out and diagnostics</w:t>
            </w:r>
          </w:p>
        </w:tc>
        <w:tc>
          <w:tcPr>
            <w:tcW w:type="dxa" w:w="1087"/>
            <w:vAlign w:val="center"/>
          </w:tcPr>
          <w:p>
            <w:pPr>
              <w:spacing w:before="0" w:after="0" w:line="240" w:lineRule="auto"/>
            </w:pPr>
            <w:r>
              <w:rPr>
                <w:rFonts w:ascii="Times New Roman" w:hAnsi="Times New Roman" w:eastAsia="Times New Roman"/>
                <w:color w:val="1F1F1F"/>
                <w:sz w:val="20"/>
              </w:rPr>
              <w:t>8</w:t>
            </w:r>
          </w:p>
        </w:tc>
      </w:tr>
      <w:tr>
        <w:tc>
          <w:tcPr>
            <w:tcW w:type="dxa" w:w="2433"/>
            <w:vAlign w:val="center"/>
          </w:tcPr>
          <w:p>
            <w:pPr>
              <w:spacing w:before="0" w:after="0" w:line="240" w:lineRule="auto"/>
            </w:pPr>
            <w:r>
              <w:rPr>
                <w:rFonts w:ascii="Times New Roman" w:hAnsi="Times New Roman" w:eastAsia="Times New Roman"/>
                <w:color w:val="1F1F1F"/>
                <w:sz w:val="20"/>
              </w:rPr>
              <w:t>transcription</w:t>
            </w:r>
          </w:p>
        </w:tc>
        <w:tc>
          <w:tcPr>
            <w:tcW w:type="dxa" w:w="5840"/>
            <w:vAlign w:val="center"/>
          </w:tcPr>
          <w:p>
            <w:pPr>
              <w:spacing w:before="0" w:after="0" w:line="240" w:lineRule="auto"/>
            </w:pPr>
            <w:r>
              <w:rPr>
                <w:rFonts w:ascii="Times New Roman" w:hAnsi="Times New Roman" w:eastAsia="Times New Roman"/>
                <w:color w:val="1F1F1F"/>
                <w:sz w:val="20"/>
              </w:rPr>
              <w:t>Program, ranked-list, influence and concordance results</w:t>
            </w:r>
          </w:p>
        </w:tc>
        <w:tc>
          <w:tcPr>
            <w:tcW w:type="dxa" w:w="1087"/>
            <w:vAlign w:val="center"/>
          </w:tcPr>
          <w:p>
            <w:pPr>
              <w:spacing w:before="0" w:after="0" w:line="240" w:lineRule="auto"/>
            </w:pPr>
            <w:r>
              <w:rPr>
                <w:rFonts w:ascii="Times New Roman" w:hAnsi="Times New Roman" w:eastAsia="Times New Roman"/>
                <w:color w:val="1F1F1F"/>
                <w:sz w:val="20"/>
              </w:rPr>
              <w:t>18</w:t>
            </w:r>
          </w:p>
        </w:tc>
      </w:tr>
      <w:tr>
        <w:tc>
          <w:tcPr>
            <w:tcW w:type="dxa" w:w="2433"/>
            <w:vAlign w:val="center"/>
          </w:tcPr>
          <w:p>
            <w:pPr>
              <w:spacing w:before="0" w:after="0" w:line="240" w:lineRule="auto"/>
            </w:pPr>
            <w:r>
              <w:rPr>
                <w:rFonts w:ascii="Times New Roman" w:hAnsi="Times New Roman" w:eastAsia="Times New Roman"/>
                <w:color w:val="1F1F1F"/>
                <w:sz w:val="20"/>
              </w:rPr>
              <w:t>regulatory_and_orthogonal</w:t>
            </w:r>
          </w:p>
        </w:tc>
        <w:tc>
          <w:tcPr>
            <w:tcW w:type="dxa" w:w="5840"/>
            <w:vAlign w:val="center"/>
          </w:tcPr>
          <w:p>
            <w:pPr>
              <w:spacing w:before="0" w:after="0" w:line="240" w:lineRule="auto"/>
            </w:pPr>
            <w:r>
              <w:rPr>
                <w:rFonts w:ascii="Times New Roman" w:hAnsi="Times New Roman" w:eastAsia="Times New Roman"/>
                <w:color w:val="1F1F1F"/>
                <w:sz w:val="20"/>
              </w:rPr>
              <w:t>ULM, target influence, CAMERA/FRY, M5911 and GSE23307 summaries</w:t>
            </w:r>
          </w:p>
        </w:tc>
        <w:tc>
          <w:tcPr>
            <w:tcW w:type="dxa" w:w="1087"/>
            <w:vAlign w:val="center"/>
          </w:tcPr>
          <w:p>
            <w:pPr>
              <w:spacing w:before="0" w:after="0" w:line="240" w:lineRule="auto"/>
            </w:pPr>
            <w:r>
              <w:rPr>
                <w:rFonts w:ascii="Times New Roman" w:hAnsi="Times New Roman" w:eastAsia="Times New Roman"/>
                <w:color w:val="1F1F1F"/>
                <w:sz w:val="20"/>
              </w:rPr>
              <w:t>9</w:t>
            </w:r>
          </w:p>
        </w:tc>
      </w:tr>
      <w:tr>
        <w:tc>
          <w:tcPr>
            <w:tcW w:type="dxa" w:w="2433"/>
            <w:vAlign w:val="center"/>
          </w:tcPr>
          <w:p>
            <w:pPr>
              <w:spacing w:before="0" w:after="0" w:line="240" w:lineRule="auto"/>
            </w:pPr>
            <w:r>
              <w:rPr>
                <w:rFonts w:ascii="Times New Roman" w:hAnsi="Times New Roman" w:eastAsia="Times New Roman"/>
                <w:color w:val="1F1F1F"/>
                <w:sz w:val="20"/>
              </w:rPr>
              <w:t>statistical_framework</w:t>
            </w:r>
          </w:p>
        </w:tc>
        <w:tc>
          <w:tcPr>
            <w:tcW w:type="dxa" w:w="5840"/>
            <w:vAlign w:val="center"/>
          </w:tcPr>
          <w:p>
            <w:pPr>
              <w:spacing w:before="0" w:after="0" w:line="240" w:lineRule="auto"/>
            </w:pPr>
            <w:r>
              <w:rPr>
                <w:rFonts w:ascii="Times New Roman" w:hAnsi="Times New Roman" w:eastAsia="Times New Roman"/>
                <w:color w:val="1F1F1F"/>
                <w:sz w:val="20"/>
              </w:rPr>
              <w:t>Machine-readable test and multiplicity map</w:t>
            </w:r>
          </w:p>
        </w:tc>
        <w:tc>
          <w:tcPr>
            <w:tcW w:type="dxa" w:w="1087"/>
            <w:vAlign w:val="center"/>
          </w:tcPr>
          <w:p>
            <w:pPr>
              <w:spacing w:before="0" w:after="0" w:line="240" w:lineRule="auto"/>
            </w:pPr>
            <w:r>
              <w:rPr>
                <w:rFonts w:ascii="Times New Roman" w:hAnsi="Times New Roman" w:eastAsia="Times New Roman"/>
                <w:color w:val="1F1F1F"/>
                <w:sz w:val="20"/>
              </w:rPr>
              <w:t>1</w:t>
            </w:r>
          </w:p>
        </w:tc>
      </w:tr>
    </w:tbl>
    <w:p>
      <w:pPr>
        <w:spacing w:after="60"/>
      </w:pPr>
    </w:p>
    <w:p>
      <w:r>
        <w:br w:type="page"/>
      </w:r>
    </w:p>
    <w:p>
      <w:pPr>
        <w:pStyle w:val="Heading1"/>
      </w:pPr>
      <w:r>
        <w:rPr>
          <w:rFonts w:ascii="Times New Roman" w:hAnsi="Times New Roman" w:eastAsia="Times New Roman"/>
          <w:color w:val="1F1F1F"/>
          <w:sz w:val="28"/>
        </w:rPr>
        <w:t>Supplementary Figure S1 | Source integrity and hard-quality-control diagnostics</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Hard-QC failure fractions by processing cohort and disease group. </w:t>
      </w:r>
      <w:r>
        <w:rPr>
          <w:rFonts w:ascii="Times New Roman" w:hAnsi="Times New Roman" w:eastAsia="Times New Roman"/>
          <w:b/>
          <w:color w:val="1F1F1F"/>
          <w:sz w:val="22"/>
        </w:rPr>
        <w:t>b,</w:t>
      </w:r>
      <w:r>
        <w:rPr>
          <w:rFonts w:ascii="Times New Roman" w:hAnsi="Times New Roman" w:eastAsia="Times New Roman"/>
          <w:color w:val="1F1F1F"/>
          <w:sz w:val="22"/>
        </w:rPr>
        <w:t xml:space="preserve"> Residual-risk call fraction versus cells per library, coloured by the library median score. </w:t>
      </w:r>
      <w:r>
        <w:rPr>
          <w:rFonts w:ascii="Times New Roman" w:hAnsi="Times New Roman" w:eastAsia="Times New Roman"/>
          <w:b/>
          <w:color w:val="1F1F1F"/>
          <w:sz w:val="22"/>
        </w:rPr>
        <w:t>c,</w:t>
      </w:r>
      <w:r>
        <w:rPr>
          <w:rFonts w:ascii="Times New Roman" w:hAnsi="Times New Roman" w:eastAsia="Times New Roman"/>
          <w:color w:val="1F1F1F"/>
          <w:sz w:val="22"/>
        </w:rPr>
        <w:t xml:space="preserve"> Percent and exact number of retained risk-negative cells and sensitivity-only residual-risk calls among 150,402 hard-QC B-lineage cells. </w:t>
      </w:r>
      <w:r>
        <w:rPr>
          <w:rFonts w:ascii="Times New Roman" w:hAnsi="Times New Roman" w:eastAsia="Times New Roman"/>
          <w:b/>
          <w:color w:val="1F1F1F"/>
          <w:sz w:val="22"/>
        </w:rPr>
        <w:t>d,</w:t>
      </w:r>
      <w:r>
        <w:rPr>
          <w:rFonts w:ascii="Times New Roman" w:hAnsi="Times New Roman" w:eastAsia="Times New Roman"/>
          <w:color w:val="1F1F1F"/>
          <w:sz w:val="22"/>
        </w:rPr>
        <w:t xml:space="preserve"> Median, 95th-percentile and threshold residual-risk scores for all 88 libraries.</w:t>
      </w:r>
    </w:p>
    <w:p>
      <w:pPr>
        <w:jc w:val="center"/>
      </w:pPr>
      <w:r>
        <w:drawing>
          <wp:inline xmlns:a="http://schemas.openxmlformats.org/drawingml/2006/main" xmlns:pic="http://schemas.openxmlformats.org/drawingml/2006/picture">
            <wp:extent cx="5806440" cy="4243013"/>
            <wp:docPr id="1" name="Picture 1" title="Supplementary Figure S1" descr="Supplementary Figure S1; full panel description appears immediately above the figure."/>
            <wp:cNvGraphicFramePr>
              <a:graphicFrameLocks noChangeAspect="1"/>
            </wp:cNvGraphicFramePr>
            <a:graphic>
              <a:graphicData uri="http://schemas.openxmlformats.org/drawingml/2006/picture">
                <pic:pic>
                  <pic:nvPicPr>
                    <pic:cNvPr id="0" name="Supplementary_Figure_S1_source_integrity_qc.png"/>
                    <pic:cNvPicPr/>
                  </pic:nvPicPr>
                  <pic:blipFill>
                    <a:blip r:embed="rId13"/>
                    <a:stretch>
                      <a:fillRect/>
                    </a:stretch>
                  </pic:blipFill>
                  <pic:spPr>
                    <a:xfrm>
                      <a:off x="0" y="0"/>
                      <a:ext cx="5806440" cy="4243013"/>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S2 | Representation and bridge diagnostics</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Same-group neighbourhood concentration before and after Harmony adjustment. </w:t>
      </w:r>
      <w:r>
        <w:rPr>
          <w:rFonts w:ascii="Times New Roman" w:hAnsi="Times New Roman" w:eastAsia="Times New Roman"/>
          <w:b/>
          <w:color w:val="1F1F1F"/>
          <w:sz w:val="22"/>
        </w:rPr>
        <w:t>b,</w:t>
      </w:r>
      <w:r>
        <w:rPr>
          <w:rFonts w:ascii="Times New Roman" w:hAnsi="Times New Roman" w:eastAsia="Times New Roman"/>
          <w:color w:val="1F1F1F"/>
          <w:sz w:val="22"/>
        </w:rPr>
        <w:t xml:space="preserve"> Cross-cohort bridge-pair cosine-distance distributions. </w:t>
      </w:r>
      <w:r>
        <w:rPr>
          <w:rFonts w:ascii="Times New Roman" w:hAnsi="Times New Roman" w:eastAsia="Times New Roman"/>
          <w:b/>
          <w:color w:val="1F1F1F"/>
          <w:sz w:val="22"/>
        </w:rPr>
        <w:t>c,</w:t>
      </w:r>
      <w:r>
        <w:rPr>
          <w:rFonts w:ascii="Times New Roman" w:hAnsi="Times New Roman" w:eastAsia="Times New Roman"/>
          <w:color w:val="1F1F1F"/>
          <w:sz w:val="22"/>
        </w:rPr>
        <w:t xml:space="preserve"> Disease-blind branch concordance across Leiden resolutions for residual-risk-negative and strong-ISG-excluded branches; the vertical guide marks the primary resolution. </w:t>
      </w:r>
      <w:r>
        <w:rPr>
          <w:rFonts w:ascii="Times New Roman" w:hAnsi="Times New Roman" w:eastAsia="Times New Roman"/>
          <w:b/>
          <w:color w:val="1F1F1F"/>
          <w:sz w:val="22"/>
        </w:rPr>
        <w:t>d,</w:t>
      </w:r>
      <w:r>
        <w:rPr>
          <w:rFonts w:ascii="Times New Roman" w:hAnsi="Times New Roman" w:eastAsia="Times New Roman"/>
          <w:color w:val="1F1F1F"/>
          <w:sz w:val="22"/>
        </w:rPr>
        <w:t xml:space="preserve"> Biological marker-module localization across the five fine clusters considered before stability adjudication.</w:t>
      </w:r>
    </w:p>
    <w:p>
      <w:pPr>
        <w:jc w:val="center"/>
      </w:pPr>
      <w:r>
        <w:drawing>
          <wp:inline xmlns:a="http://schemas.openxmlformats.org/drawingml/2006/main" xmlns:pic="http://schemas.openxmlformats.org/drawingml/2006/picture">
            <wp:extent cx="5806440" cy="4323602"/>
            <wp:docPr id="2" name="Picture 2" title="Supplementary Figure S2" descr="Supplementary Figure S2; full panel description appears immediately above the figure."/>
            <wp:cNvGraphicFramePr>
              <a:graphicFrameLocks noChangeAspect="1"/>
            </wp:cNvGraphicFramePr>
            <a:graphic>
              <a:graphicData uri="http://schemas.openxmlformats.org/drawingml/2006/picture">
                <pic:pic>
                  <pic:nvPicPr>
                    <pic:cNvPr id="0" name="Supplementary_Figure_S2_representation_diagnostics.png"/>
                    <pic:cNvPicPr/>
                  </pic:nvPicPr>
                  <pic:blipFill>
                    <a:blip r:embed="rId14"/>
                    <a:stretch>
                      <a:fillRect/>
                    </a:stretch>
                  </pic:blipFill>
                  <pic:spPr>
                    <a:xfrm>
                      <a:off x="0" y="0"/>
                      <a:ext cx="5806440" cy="4323602"/>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S3 | Disease-blind identity adjudication</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Median and worst-case mapped ARI for five-, four-, three- and two-level policies across resamples. </w:t>
      </w:r>
      <w:r>
        <w:rPr>
          <w:rFonts w:ascii="Times New Roman" w:hAnsi="Times New Roman" w:eastAsia="Times New Roman"/>
          <w:b/>
          <w:color w:val="1F1F1F"/>
          <w:sz w:val="22"/>
        </w:rPr>
        <w:t>b,</w:t>
      </w:r>
      <w:r>
        <w:rPr>
          <w:rFonts w:ascii="Times New Roman" w:hAnsi="Times New Roman" w:eastAsia="Times New Roman"/>
          <w:color w:val="1F1F1F"/>
          <w:sz w:val="22"/>
        </w:rPr>
        <w:t xml:space="preserve"> Median and minimum cluster Jaccard values show localization of failure to fine-state membership. </w:t>
      </w:r>
      <w:r>
        <w:rPr>
          <w:rFonts w:ascii="Times New Roman" w:hAnsi="Times New Roman" w:eastAsia="Times New Roman"/>
          <w:b/>
          <w:color w:val="1F1F1F"/>
          <w:sz w:val="22"/>
        </w:rPr>
        <w:t>c,</w:t>
      </w:r>
      <w:r>
        <w:rPr>
          <w:rFonts w:ascii="Times New Roman" w:hAnsi="Times New Roman" w:eastAsia="Times New Roman"/>
          <w:color w:val="1F1F1F"/>
          <w:sz w:val="22"/>
        </w:rPr>
        <w:t xml:space="preserve"> Mean transition matrix from original resolution-0.4 clusters to mapped reference clusters. </w:t>
      </w:r>
      <w:r>
        <w:rPr>
          <w:rFonts w:ascii="Times New Roman" w:hAnsi="Times New Roman" w:eastAsia="Times New Roman"/>
          <w:b/>
          <w:color w:val="1F1F1F"/>
          <w:sz w:val="22"/>
        </w:rPr>
        <w:t>d,</w:t>
      </w:r>
      <w:r>
        <w:rPr>
          <w:rFonts w:ascii="Times New Roman" w:hAnsi="Times New Roman" w:eastAsia="Times New Roman"/>
          <w:color w:val="1F1F1F"/>
          <w:sz w:val="22"/>
        </w:rPr>
        <w:t xml:space="preserve"> Minimum-to-median Jaccard intervals for the final B_CONV and B_ASC states across 20 disease-blind resamples.</w:t>
      </w:r>
    </w:p>
    <w:p>
      <w:pPr>
        <w:jc w:val="center"/>
      </w:pPr>
      <w:r>
        <w:drawing>
          <wp:inline xmlns:a="http://schemas.openxmlformats.org/drawingml/2006/main" xmlns:pic="http://schemas.openxmlformats.org/drawingml/2006/picture">
            <wp:extent cx="5806440" cy="4321602"/>
            <wp:docPr id="3" name="Picture 3" title="Supplementary Figure S3" descr="Supplementary Figure S3; full panel description appears immediately above the figure."/>
            <wp:cNvGraphicFramePr>
              <a:graphicFrameLocks noChangeAspect="1"/>
            </wp:cNvGraphicFramePr>
            <a:graphic>
              <a:graphicData uri="http://schemas.openxmlformats.org/drawingml/2006/picture">
                <pic:pic>
                  <pic:nvPicPr>
                    <pic:cNvPr id="0" name="Supplementary_Figure_S3_identity_adjudication.png"/>
                    <pic:cNvPicPr/>
                  </pic:nvPicPr>
                  <pic:blipFill>
                    <a:blip r:embed="rId15"/>
                    <a:stretch>
                      <a:fillRect/>
                    </a:stretch>
                  </pic:blipFill>
                  <pic:spPr>
                    <a:xfrm>
                      <a:off x="0" y="0"/>
                      <a:ext cx="5806440" cy="4321602"/>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S4 | Composition-model diagnostics</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Total and zero-ASC sample-cohort strata in the three base contrasts. </w:t>
      </w:r>
      <w:r>
        <w:rPr>
          <w:rFonts w:ascii="Times New Roman" w:hAnsi="Times New Roman" w:eastAsia="Times New Roman"/>
          <w:b/>
          <w:color w:val="1F1F1F"/>
          <w:sz w:val="22"/>
        </w:rPr>
        <w:t>b,</w:t>
      </w:r>
      <w:r>
        <w:rPr>
          <w:rFonts w:ascii="Times New Roman" w:hAnsi="Times New Roman" w:eastAsia="Times New Roman"/>
          <w:color w:val="1F1F1F"/>
          <w:sz w:val="22"/>
        </w:rPr>
        <w:t xml:space="preserve"> Primary B_ASC odds ratios under support, explicit non-B and residual-risk policies using observed-information and HC1 covariance. </w:t>
      </w:r>
      <w:r>
        <w:rPr>
          <w:rFonts w:ascii="Times New Roman" w:hAnsi="Times New Roman" w:eastAsia="Times New Roman"/>
          <w:b/>
          <w:color w:val="1F1F1F"/>
          <w:sz w:val="22"/>
        </w:rPr>
        <w:t>c,</w:t>
      </w:r>
      <w:r>
        <w:rPr>
          <w:rFonts w:ascii="Times New Roman" w:hAnsi="Times New Roman" w:eastAsia="Times New Roman"/>
          <w:color w:val="1F1F1F"/>
          <w:sz w:val="22"/>
        </w:rPr>
        <w:t xml:space="preserve"> Firth-logistic ASC-presence sensitivity. </w:t>
      </w:r>
      <w:r>
        <w:rPr>
          <w:rFonts w:ascii="Times New Roman" w:hAnsi="Times New Roman" w:eastAsia="Times New Roman"/>
          <w:b/>
          <w:color w:val="1F1F1F"/>
          <w:sz w:val="22"/>
        </w:rPr>
        <w:t>d,</w:t>
      </w:r>
      <w:r>
        <w:rPr>
          <w:rFonts w:ascii="Times New Roman" w:hAnsi="Times New Roman" w:eastAsia="Times New Roman"/>
          <w:color w:val="1F1F1F"/>
          <w:sz w:val="22"/>
        </w:rPr>
        <w:t xml:space="preserve"> Positive-only abundance sensitivity using HC3 uncertainty. The two-part models are sensitivity analyses and do not replace the frozen beta-binomial primary model.</w:t>
      </w:r>
    </w:p>
    <w:p>
      <w:pPr>
        <w:jc w:val="center"/>
      </w:pPr>
      <w:r>
        <w:drawing>
          <wp:inline xmlns:a="http://schemas.openxmlformats.org/drawingml/2006/main" xmlns:pic="http://schemas.openxmlformats.org/drawingml/2006/picture">
            <wp:extent cx="5806440" cy="4323602"/>
            <wp:docPr id="4" name="Picture 4" title="Supplementary Figure S4" descr="Supplementary Figure S4; full panel description appears immediately above the figure."/>
            <wp:cNvGraphicFramePr>
              <a:graphicFrameLocks noChangeAspect="1"/>
            </wp:cNvGraphicFramePr>
            <a:graphic>
              <a:graphicData uri="http://schemas.openxmlformats.org/drawingml/2006/picture">
                <pic:pic>
                  <pic:nvPicPr>
                    <pic:cNvPr id="0" name="Supplementary_Figure_S4_composition_diagnostics.png"/>
                    <pic:cNvPicPr/>
                  </pic:nvPicPr>
                  <pic:blipFill>
                    <a:blip r:embed="rId16"/>
                    <a:stretch>
                      <a:fillRect/>
                    </a:stretch>
                  </pic:blipFill>
                  <pic:spPr>
                    <a:xfrm>
                      <a:off x="0" y="0"/>
                      <a:ext cx="5806440" cy="4323602"/>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S5 | Pseudobulk and ranked-list diagnostics</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Numbers of filterByExpr-tested and BH-significant genes across seven GSE174188 branches. </w:t>
      </w:r>
      <w:r>
        <w:rPr>
          <w:rFonts w:ascii="Times New Roman" w:hAnsi="Times New Roman" w:eastAsia="Times New Roman"/>
          <w:b/>
          <w:color w:val="1F1F1F"/>
          <w:sz w:val="22"/>
        </w:rPr>
        <w:t>b,</w:t>
      </w:r>
      <w:r>
        <w:rPr>
          <w:rFonts w:ascii="Times New Roman" w:hAnsi="Times New Roman" w:eastAsia="Times New Roman"/>
          <w:color w:val="1F1F1F"/>
          <w:sz w:val="22"/>
        </w:rPr>
        <w:t xml:space="preserve"> Common and median tagwise edgeR dispersions. </w:t>
      </w:r>
      <w:r>
        <w:rPr>
          <w:rFonts w:ascii="Times New Roman" w:hAnsi="Times New Roman" w:eastAsia="Times New Roman"/>
          <w:b/>
          <w:color w:val="1F1F1F"/>
          <w:sz w:val="22"/>
        </w:rPr>
        <w:t>c,</w:t>
      </w:r>
      <w:r>
        <w:rPr>
          <w:rFonts w:ascii="Times New Roman" w:hAnsi="Times New Roman" w:eastAsia="Times New Roman"/>
          <w:color w:val="1F1F1F"/>
          <w:sz w:val="22"/>
        </w:rPr>
        <w:t xml:space="preserve"> Mitochondrial, ribosomal, haemoglobin and immunoglobulin fractions among increasingly long primary ranked lists. </w:t>
      </w:r>
      <w:r>
        <w:rPr>
          <w:rFonts w:ascii="Times New Roman" w:hAnsi="Times New Roman" w:eastAsia="Times New Roman"/>
          <w:b/>
          <w:color w:val="1F1F1F"/>
          <w:sz w:val="22"/>
        </w:rPr>
        <w:t>d,</w:t>
      </w:r>
      <w:r>
        <w:rPr>
          <w:rFonts w:ascii="Times New Roman" w:hAnsi="Times New Roman" w:eastAsia="Times New Roman"/>
          <w:color w:val="1F1F1F"/>
          <w:sz w:val="22"/>
        </w:rPr>
        <w:t xml:space="preserve"> IFN/ISG effects and 95% confidence intervals across frozen branches.</w:t>
      </w:r>
    </w:p>
    <w:p>
      <w:pPr>
        <w:jc w:val="center"/>
      </w:pPr>
      <w:r>
        <w:drawing>
          <wp:inline xmlns:a="http://schemas.openxmlformats.org/drawingml/2006/main" xmlns:pic="http://schemas.openxmlformats.org/drawingml/2006/picture">
            <wp:extent cx="5806440" cy="4404191"/>
            <wp:docPr id="5" name="Picture 5" title="Supplementary Figure S5" descr="Supplementary Figure S5; full panel description appears immediately above the figure."/>
            <wp:cNvGraphicFramePr>
              <a:graphicFrameLocks noChangeAspect="1"/>
            </wp:cNvGraphicFramePr>
            <a:graphic>
              <a:graphicData uri="http://schemas.openxmlformats.org/drawingml/2006/picture">
                <pic:pic>
                  <pic:nvPicPr>
                    <pic:cNvPr id="0" name="Supplementary_Figure_S5_pseudobulk_diagnostics.png"/>
                    <pic:cNvPicPr/>
                  </pic:nvPicPr>
                  <pic:blipFill>
                    <a:blip r:embed="rId17"/>
                    <a:stretch>
                      <a:fillRect/>
                    </a:stretch>
                  </pic:blipFill>
                  <pic:spPr>
                    <a:xfrm>
                      <a:off x="0" y="0"/>
                      <a:ext cx="5806440" cy="4404191"/>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S6 | Independent-validation diagnostics</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Control and SLE donor counts across the five GSE135779 models. </w:t>
      </w:r>
      <w:r>
        <w:rPr>
          <w:rFonts w:ascii="Times New Roman" w:hAnsi="Times New Roman" w:eastAsia="Times New Roman"/>
          <w:b/>
          <w:color w:val="1F1F1F"/>
          <w:sz w:val="22"/>
        </w:rPr>
        <w:t>b,</w:t>
      </w:r>
      <w:r>
        <w:rPr>
          <w:rFonts w:ascii="Times New Roman" w:hAnsi="Times New Roman" w:eastAsia="Times New Roman"/>
          <w:color w:val="1F1F1F"/>
          <w:sz w:val="22"/>
        </w:rPr>
        <w:t xml:space="preserve"> Four-program childhood estimates. </w:t>
      </w:r>
      <w:r>
        <w:rPr>
          <w:rFonts w:ascii="Times New Roman" w:hAnsi="Times New Roman" w:eastAsia="Times New Roman"/>
          <w:b/>
          <w:color w:val="1F1F1F"/>
          <w:sz w:val="22"/>
        </w:rPr>
        <w:t>c,</w:t>
      </w:r>
      <w:r>
        <w:rPr>
          <w:rFonts w:ascii="Times New Roman" w:hAnsi="Times New Roman" w:eastAsia="Times New Roman"/>
          <w:color w:val="1F1F1F"/>
          <w:sz w:val="22"/>
        </w:rPr>
        <w:t xml:space="preserve"> Childhood IFN/ISG estimates after omission of each source B-cell label. </w:t>
      </w:r>
      <w:r>
        <w:rPr>
          <w:rFonts w:ascii="Times New Roman" w:hAnsi="Times New Roman" w:eastAsia="Times New Roman"/>
          <w:b/>
          <w:color w:val="1F1F1F"/>
          <w:sz w:val="22"/>
        </w:rPr>
        <w:t>d,</w:t>
      </w:r>
      <w:r>
        <w:rPr>
          <w:rFonts w:ascii="Times New Roman" w:hAnsi="Times New Roman" w:eastAsia="Times New Roman"/>
          <w:color w:val="1F1F1F"/>
          <w:sz w:val="22"/>
        </w:rPr>
        <w:t xml:space="preserve"> Full childhood program effects and ranges across donor-deletion analyses.</w:t>
      </w:r>
    </w:p>
    <w:p>
      <w:pPr>
        <w:jc w:val="center"/>
      </w:pPr>
      <w:r>
        <w:drawing>
          <wp:inline xmlns:a="http://schemas.openxmlformats.org/drawingml/2006/main" xmlns:pic="http://schemas.openxmlformats.org/drawingml/2006/picture">
            <wp:extent cx="5806440" cy="4404191"/>
            <wp:docPr id="6" name="Picture 6" title="Supplementary Figure S6" descr="Supplementary Figure S6; full panel description appears immediately above the figure."/>
            <wp:cNvGraphicFramePr>
              <a:graphicFrameLocks noChangeAspect="1"/>
            </wp:cNvGraphicFramePr>
            <a:graphic>
              <a:graphicData uri="http://schemas.openxmlformats.org/drawingml/2006/picture">
                <pic:pic>
                  <pic:nvPicPr>
                    <pic:cNvPr id="0" name="Supplementary_Figure_S6_external_validation_diagnostics.png"/>
                    <pic:cNvPicPr/>
                  </pic:nvPicPr>
                  <pic:blipFill>
                    <a:blip r:embed="rId18"/>
                    <a:stretch>
                      <a:fillRect/>
                    </a:stretch>
                  </pic:blipFill>
                  <pic:spPr>
                    <a:xfrm>
                      <a:off x="0" y="0"/>
                      <a:ext cx="5806440" cy="4404191"/>
                    </a:xfrm>
                    <a:prstGeom prst="rect"/>
                  </pic:spPr>
                </pic:pic>
              </a:graphicData>
            </a:graphic>
          </wp:inline>
        </w:drawing>
      </w:r>
    </w:p>
    <w:p>
      <w:r>
        <w:br w:type="page"/>
      </w:r>
    </w:p>
    <w:p>
      <w:pPr>
        <w:pStyle w:val="Heading1"/>
      </w:pPr>
      <w:r>
        <w:rPr>
          <w:rFonts w:ascii="Times New Roman" w:hAnsi="Times New Roman" w:eastAsia="Times New Roman"/>
          <w:color w:val="1F1F1F"/>
          <w:sz w:val="28"/>
        </w:rPr>
        <w:t>Supplementary Figure S7 | Correlation-aware regulator sensitivity</w:t>
      </w:r>
    </w:p>
    <w:p>
      <w:pPr>
        <w:widowControl/>
      </w:pPr>
      <w:r>
        <w:rPr>
          <w:rFonts w:ascii="Times New Roman" w:hAnsi="Times New Roman" w:eastAsia="Times New Roman"/>
          <w:b/>
          <w:color w:val="1F1F1F"/>
          <w:sz w:val="22"/>
        </w:rPr>
        <w:t>a,</w:t>
      </w:r>
      <w:r>
        <w:rPr>
          <w:rFonts w:ascii="Times New Roman" w:hAnsi="Times New Roman" w:eastAsia="Times New Roman"/>
          <w:color w:val="1F1F1F"/>
          <w:sz w:val="22"/>
        </w:rPr>
        <w:t xml:space="preserve"> CAMERA and FRY six-test BH concordance for STAT1 and STAT2. Dashed guides indicate q=0.05. </w:t>
      </w:r>
      <w:r>
        <w:rPr>
          <w:rFonts w:ascii="Times New Roman" w:hAnsi="Times New Roman" w:eastAsia="Times New Roman"/>
          <w:b/>
          <w:color w:val="1F1F1F"/>
          <w:sz w:val="22"/>
        </w:rPr>
        <w:t>b,</w:t>
      </w:r>
      <w:r>
        <w:rPr>
          <w:rFonts w:ascii="Times New Roman" w:hAnsi="Times New Roman" w:eastAsia="Times New Roman"/>
          <w:color w:val="1F1F1F"/>
          <w:sz w:val="22"/>
        </w:rPr>
        <w:t xml:space="preserve"> CAMERA residual-estimated inter-gene correlations. </w:t>
      </w:r>
      <w:r>
        <w:rPr>
          <w:rFonts w:ascii="Times New Roman" w:hAnsi="Times New Roman" w:eastAsia="Times New Roman"/>
          <w:b/>
          <w:color w:val="1F1F1F"/>
          <w:sz w:val="22"/>
        </w:rPr>
        <w:t>c,</w:t>
      </w:r>
      <w:r>
        <w:rPr>
          <w:rFonts w:ascii="Times New Roman" w:hAnsi="Times New Roman" w:eastAsia="Times New Roman"/>
          <w:color w:val="1F1F1F"/>
          <w:sz w:val="22"/>
        </w:rPr>
        <w:t xml:space="preserve"> Exact CAMERA and FRY BH q values. </w:t>
      </w:r>
      <w:r>
        <w:rPr>
          <w:rFonts w:ascii="Times New Roman" w:hAnsi="Times New Roman" w:eastAsia="Times New Roman"/>
          <w:b/>
          <w:color w:val="1F1F1F"/>
          <w:sz w:val="22"/>
        </w:rPr>
        <w:t>d,</w:t>
      </w:r>
      <w:r>
        <w:rPr>
          <w:rFonts w:ascii="Times New Roman" w:hAnsi="Times New Roman" w:eastAsia="Times New Roman"/>
          <w:color w:val="1F1F1F"/>
          <w:sz w:val="22"/>
        </w:rPr>
        <w:t xml:space="preserve"> Matched signed-target counts, which equal the frozen ULM family (STAT1: 98, 129 and 161; STAT2: 14, 19 and 20).</w:t>
      </w:r>
    </w:p>
    <w:p>
      <w:pPr>
        <w:jc w:val="center"/>
      </w:pPr>
      <w:r>
        <w:drawing>
          <wp:inline xmlns:a="http://schemas.openxmlformats.org/drawingml/2006/main" xmlns:pic="http://schemas.openxmlformats.org/drawingml/2006/picture">
            <wp:extent cx="5806440" cy="4323602"/>
            <wp:docPr id="7" name="Picture 7" title="Supplementary Figure S7" descr="Supplementary Figure S7; full panel description appears immediately above the figure."/>
            <wp:cNvGraphicFramePr>
              <a:graphicFrameLocks noChangeAspect="1"/>
            </wp:cNvGraphicFramePr>
            <a:graphic>
              <a:graphicData uri="http://schemas.openxmlformats.org/drawingml/2006/picture">
                <pic:pic>
                  <pic:nvPicPr>
                    <pic:cNvPr id="0" name="Supplementary_Figure_S7_regulator_correlation_sensitivity.png"/>
                    <pic:cNvPicPr/>
                  </pic:nvPicPr>
                  <pic:blipFill>
                    <a:blip r:embed="rId19"/>
                    <a:stretch>
                      <a:fillRect/>
                    </a:stretch>
                  </pic:blipFill>
                  <pic:spPr>
                    <a:xfrm>
                      <a:off x="0" y="0"/>
                      <a:ext cx="5806440" cy="4323602"/>
                    </a:xfrm>
                    <a:prstGeom prst="rect"/>
                  </pic:spPr>
                </pic:pic>
              </a:graphicData>
            </a:graphic>
          </wp:inline>
        </w:drawing>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Times New Roman" w:hAnsi="Times New Roman" w:eastAsia="Times New Roman"/>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Rule="auto" w:line="276"/>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Genome Medicine Research submission</dc:subject>
  <dc:creator>Zhi Chen; Teng Qi</dc:creator>
  <cp:keywords>SLE; B cells; single-cell RNA sequencing; interferon</cp:keywords>
  <dc:description>Generated reproducibly from Gate C8S Markdown sources.</dc:description>
  <cp:lastModifiedBy/>
  <cp:revision>1</cp:revision>
  <dcterms:created xsi:type="dcterms:W3CDTF">2013-12-23T23:15:00Z</dcterms:created>
  <dcterms:modified xsi:type="dcterms:W3CDTF">2013-12-23T23:15:00Z</dcterms:modified>
  <cp:category/>
</cp:coreProperties>
</file>