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notice-title"/>
        <w:bidi w:val="0"/>
        <w:spacing w:before="850" w:after="283"/>
        <w:rPr/>
      </w:pPr>
      <w:r>
        <w:rPr/>
        <w:t>非论文正文：使用说明</w:t>
      </w:r>
    </w:p>
    <w:p>
      <w:pPr>
        <w:pStyle w:val="BlockQuotation"/>
        <w:bidi w:val="0"/>
        <w:rPr/>
      </w:pPr>
      <w:r>
        <w:rPr/>
        <w:t>本文依据《广州大学高等学历继续教育本科毕业论文（设计）撰写要求汇编（非申请学位适用）》中的“调查报告”体例撰写，正文超过</w:t>
      </w:r>
      <w:r>
        <w:rPr/>
        <w:t>6000</w:t>
      </w:r>
      <w:r>
        <w:rPr/>
        <w:t>字，含约</w:t>
      </w:r>
      <w:r>
        <w:rPr/>
        <w:t>300</w:t>
      </w:r>
      <w:r>
        <w:rPr/>
        <w:t>字摘要、</w:t>
      </w:r>
      <w:r>
        <w:rPr/>
        <w:t>5</w:t>
      </w:r>
      <w:r>
        <w:rPr/>
        <w:t>个关键词、三级标题、</w:t>
      </w:r>
      <w:r>
        <w:rPr/>
        <w:t>15</w:t>
      </w:r>
      <w:r>
        <w:rPr/>
        <w:t>条参考文献、观察记录表和访谈提纲。</w:t>
      </w:r>
    </w:p>
    <w:p>
      <w:pPr>
        <w:pStyle w:val="BlockQuotation"/>
        <w:bidi w:val="0"/>
        <w:rPr/>
      </w:pPr>
      <w:r>
        <w:rPr>
          <w:rStyle w:val="Strong"/>
        </w:rPr>
        <w:t>重要：作者尚未提供实地资料。文中样本信息以及带“示范数据”字样的数字、表格、案例均用于展示统计和论证写法，不代表真实调查结果，不可原样作为实证材料提交。请在取得园方及监护人同意后开展观察，用真实数据替换，并删除本页。</w:t>
      </w:r>
      <w:r>
        <w:rPr/>
        <w:t xml:space="preserve"> 论文题目、作者、幼儿园代称、调查时间和指导教师等也需按实际情况修改。</w:t>
      </w:r>
    </w:p>
    <w:p>
      <w:pPr>
        <w:pStyle w:val="HorizontalLine"/>
        <w:bidi w:val="0"/>
        <w:rPr/>
      </w:pPr>
      <w:r>
        <w:rPr/>
      </w:r>
    </w:p>
    <w:p>
      <w:pPr>
        <w:pStyle w:val="Heading1paper-title"/>
        <w:bidi w:val="0"/>
        <w:rPr/>
      </w:pPr>
      <w:r>
        <w:rPr/>
        <w:t>托班幼儿争抢行为现状分析</w:t>
      </w:r>
    </w:p>
    <w:p>
      <w:pPr>
        <w:pStyle w:val="Heading2paper-subtitle"/>
        <w:bidi w:val="0"/>
        <w:rPr/>
      </w:pPr>
      <w:r>
        <w:rPr/>
        <w:t>——</w:t>
      </w:r>
      <w:r>
        <w:rPr/>
        <w:t>教师教育支持策略的实践研究</w:t>
      </w:r>
    </w:p>
    <w:p>
      <w:pPr>
        <w:pStyle w:val="BodyTextauthor"/>
        <w:bidi w:val="0"/>
        <w:rPr/>
      </w:pPr>
      <w:r>
        <w:rPr/>
        <w:t>作者：〔请填写姓名〕</w:t>
      </w:r>
    </w:p>
    <w:p>
      <w:pPr>
        <w:pStyle w:val="Heading2abstract-title"/>
        <w:bidi w:val="0"/>
        <w:rPr/>
      </w:pPr>
      <w:r>
        <w:rPr/>
        <w:t>摘要</w:t>
      </w:r>
    </w:p>
    <w:p>
      <w:pPr>
        <w:pStyle w:val="BodyText"/>
        <w:bidi w:val="0"/>
        <w:rPr/>
      </w:pPr>
      <w:r>
        <w:rPr/>
        <w:t>争抢是托班幼儿同伴交往中的常见行为。研究拟以某市</w:t>
      </w:r>
      <w:r>
        <w:rPr/>
        <w:t>A</w:t>
      </w:r>
      <w:r>
        <w:rPr/>
        <w:t>幼儿园一个托班为场域，运用事件取样观察、教师访谈和行动研究法，考察争抢的发生情境、诱因、幼儿应对及教师介入，并实施材料与空间调整、情绪回应、语言支架、轮流规则、分层介入和家园协同。示范分析显示，争抢主要发生于自由游戏和过渡环节，稀缺或高吸引力材料是首要诱因，幼儿较多使用拉抢、哭喊和求助；两轮支持后，单位时间争抢及教师替代性裁决减少，请求、等待、轮流和共同游戏等建设性策略增加。研究认为，教师不宜给幼儿贴上“自私”“不懂事”标签，而应先保障安全，再依据风险、情绪和能力决定介入程度，通过环境预防与互动支架把争抢转化为社会情感学习机会。因作者未提供实测资料，文中统计均为示范，须以真实观察替换后方可形成结论。</w:t>
      </w:r>
    </w:p>
    <w:p>
      <w:pPr>
        <w:pStyle w:val="BodyText"/>
        <w:bidi w:val="0"/>
        <w:rPr/>
      </w:pPr>
      <w:r>
        <w:rPr>
          <w:rStyle w:val="Strong"/>
        </w:rPr>
        <w:t>关键词：</w:t>
      </w:r>
      <w:r>
        <w:rPr/>
        <w:t xml:space="preserve"> 托班幼儿；争抢行为；同伴冲突；教师支持；行动研究</w:t>
      </w:r>
    </w:p>
    <w:p>
      <w:pPr>
        <w:pStyle w:val="Heading2toc-title"/>
        <w:bidi w:val="0"/>
        <w:rPr/>
      </w:pPr>
      <w:r>
        <w:rPr/>
        <w:t>目录</w:t>
      </w:r>
    </w:p>
    <w:p>
      <w:pPr>
        <w:pStyle w:val="BodyText"/>
        <w:bidi w:val="0"/>
        <w:ind w:hanging="0" w:start="0" w:end="0"/>
        <w:jc w:val="start"/>
        <w:rPr/>
      </w:pPr>
      <w:r>
        <w:rPr/>
        <w:t xml:space="preserve">1 </w:t>
      </w:r>
      <w:r>
        <w:rPr/>
        <w:t>引言</w:t>
      </w:r>
    </w:p>
    <w:p>
      <w:pPr>
        <w:pStyle w:val="BodyText"/>
        <w:bidi w:val="0"/>
        <w:ind w:hanging="0" w:start="0" w:end="0"/>
        <w:jc w:val="start"/>
        <w:rPr/>
      </w:pPr>
      <w:r>
        <w:rPr/>
        <w:t xml:space="preserve">1.1 </w:t>
      </w:r>
      <w:r>
        <w:rPr/>
        <w:t>研究背景与问题提出</w:t>
      </w:r>
    </w:p>
    <w:p>
      <w:pPr>
        <w:pStyle w:val="BodyText"/>
        <w:bidi w:val="0"/>
        <w:ind w:hanging="0" w:start="0" w:end="0"/>
        <w:jc w:val="start"/>
        <w:rPr/>
      </w:pPr>
      <w:r>
        <w:rPr/>
        <w:t xml:space="preserve">1.2 </w:t>
      </w:r>
      <w:r>
        <w:rPr/>
        <w:t>核心概念界定</w:t>
      </w:r>
    </w:p>
    <w:p>
      <w:pPr>
        <w:pStyle w:val="BodyText"/>
        <w:bidi w:val="0"/>
        <w:ind w:hanging="0" w:start="0" w:end="0"/>
        <w:jc w:val="start"/>
        <w:rPr/>
      </w:pPr>
      <w:r>
        <w:rPr/>
        <w:t xml:space="preserve">1.3 </w:t>
      </w:r>
      <w:r>
        <w:rPr/>
        <w:t>国内外研究现状</w:t>
      </w:r>
    </w:p>
    <w:p>
      <w:pPr>
        <w:pStyle w:val="BodyText"/>
        <w:bidi w:val="0"/>
        <w:ind w:hanging="0" w:start="0" w:end="0"/>
        <w:jc w:val="start"/>
        <w:rPr/>
      </w:pPr>
      <w:r>
        <w:rPr/>
        <w:t xml:space="preserve">1.4 </w:t>
      </w:r>
      <w:r>
        <w:rPr/>
        <w:t>研究目的与研究问题</w:t>
      </w:r>
    </w:p>
    <w:p>
      <w:pPr>
        <w:pStyle w:val="BodyText"/>
        <w:bidi w:val="0"/>
        <w:ind w:hanging="0" w:start="0" w:end="0"/>
        <w:jc w:val="start"/>
        <w:rPr/>
      </w:pPr>
      <w:r>
        <w:rPr/>
        <w:t xml:space="preserve">1.5 </w:t>
      </w:r>
      <w:r>
        <w:rPr/>
        <w:t>研究意义</w:t>
      </w:r>
    </w:p>
    <w:p>
      <w:pPr>
        <w:pStyle w:val="BodyText"/>
        <w:bidi w:val="0"/>
        <w:ind w:hanging="0" w:start="0" w:end="0"/>
        <w:jc w:val="start"/>
        <w:rPr/>
      </w:pPr>
      <w:r>
        <w:rPr/>
        <w:t xml:space="preserve">2 </w:t>
      </w:r>
      <w:r>
        <w:rPr/>
        <w:t>调研方法</w:t>
      </w:r>
    </w:p>
    <w:p>
      <w:pPr>
        <w:pStyle w:val="BodyText"/>
        <w:bidi w:val="0"/>
        <w:ind w:hanging="0" w:start="0" w:end="0"/>
        <w:jc w:val="start"/>
        <w:rPr/>
      </w:pPr>
      <w:r>
        <w:rPr/>
        <w:t xml:space="preserve">2.1 </w:t>
      </w:r>
      <w:r>
        <w:rPr/>
        <w:t>研究场域与对象</w:t>
      </w:r>
    </w:p>
    <w:p>
      <w:pPr>
        <w:pStyle w:val="BodyText"/>
        <w:bidi w:val="0"/>
        <w:ind w:hanging="0" w:start="0" w:end="0"/>
        <w:jc w:val="start"/>
        <w:rPr/>
      </w:pPr>
      <w:r>
        <w:rPr/>
        <w:t xml:space="preserve">2.2 </w:t>
      </w:r>
      <w:r>
        <w:rPr/>
        <w:t>研究思路与阶段</w:t>
      </w:r>
    </w:p>
    <w:p>
      <w:pPr>
        <w:pStyle w:val="BodyText"/>
        <w:bidi w:val="0"/>
        <w:ind w:hanging="0" w:start="0" w:end="0"/>
        <w:jc w:val="start"/>
        <w:rPr/>
      </w:pPr>
      <w:r>
        <w:rPr/>
        <w:t xml:space="preserve">2.3 </w:t>
      </w:r>
      <w:r>
        <w:rPr/>
        <w:t>研究方法</w:t>
      </w:r>
    </w:p>
    <w:p>
      <w:pPr>
        <w:pStyle w:val="BodyText"/>
        <w:bidi w:val="0"/>
        <w:ind w:hanging="0" w:start="0" w:end="0"/>
        <w:jc w:val="start"/>
        <w:rPr/>
      </w:pPr>
      <w:r>
        <w:rPr/>
        <w:t xml:space="preserve">2.4 </w:t>
      </w:r>
      <w:r>
        <w:rPr/>
        <w:t>观察指标与编码规则</w:t>
      </w:r>
    </w:p>
    <w:p>
      <w:pPr>
        <w:pStyle w:val="BodyText"/>
        <w:bidi w:val="0"/>
        <w:ind w:hanging="0" w:start="0" w:end="0"/>
        <w:jc w:val="start"/>
        <w:rPr/>
      </w:pPr>
      <w:r>
        <w:rPr/>
        <w:t xml:space="preserve">2.5 </w:t>
      </w:r>
      <w:r>
        <w:rPr/>
        <w:t>教育支持方案</w:t>
      </w:r>
    </w:p>
    <w:p>
      <w:pPr>
        <w:pStyle w:val="BodyText"/>
        <w:bidi w:val="0"/>
        <w:ind w:hanging="0" w:start="0" w:end="0"/>
        <w:jc w:val="start"/>
        <w:rPr/>
      </w:pPr>
      <w:r>
        <w:rPr/>
        <w:t xml:space="preserve">2.6 </w:t>
      </w:r>
      <w:r>
        <w:rPr/>
        <w:t>资料整理、研究伦理与质量控制</w:t>
      </w:r>
    </w:p>
    <w:p>
      <w:pPr>
        <w:pStyle w:val="BodyText"/>
        <w:bidi w:val="0"/>
        <w:ind w:hanging="0" w:start="0" w:end="0"/>
        <w:jc w:val="start"/>
        <w:rPr/>
      </w:pPr>
      <w:r>
        <w:rPr/>
        <w:t xml:space="preserve">3 </w:t>
      </w:r>
      <w:r>
        <w:rPr/>
        <w:t>托班幼儿争抢行为的现状与问题分析</w:t>
      </w:r>
    </w:p>
    <w:p>
      <w:pPr>
        <w:pStyle w:val="BodyText"/>
        <w:bidi w:val="0"/>
        <w:ind w:hanging="0" w:start="0" w:end="0"/>
        <w:jc w:val="start"/>
        <w:rPr/>
      </w:pPr>
      <w:r>
        <w:rPr/>
        <w:t xml:space="preserve">3.1 </w:t>
      </w:r>
      <w:r>
        <w:rPr/>
        <w:t>争抢行为的发生频率与活动情境</w:t>
      </w:r>
    </w:p>
    <w:p>
      <w:pPr>
        <w:pStyle w:val="BodyText"/>
        <w:bidi w:val="0"/>
        <w:ind w:hanging="0" w:start="0" w:end="0"/>
        <w:jc w:val="start"/>
        <w:rPr/>
      </w:pPr>
      <w:r>
        <w:rPr/>
        <w:t xml:space="preserve">3.2 </w:t>
      </w:r>
      <w:r>
        <w:rPr/>
        <w:t>争抢行为的主要诱因</w:t>
      </w:r>
    </w:p>
    <w:p>
      <w:pPr>
        <w:pStyle w:val="BodyText"/>
        <w:bidi w:val="0"/>
        <w:ind w:hanging="0" w:start="0" w:end="0"/>
        <w:jc w:val="start"/>
        <w:rPr/>
      </w:pPr>
      <w:r>
        <w:rPr/>
        <w:t xml:space="preserve">3.3 </w:t>
      </w:r>
      <w:r>
        <w:rPr/>
        <w:t>幼儿的行为表现与解决方式</w:t>
      </w:r>
    </w:p>
    <w:p>
      <w:pPr>
        <w:pStyle w:val="BodyText"/>
        <w:bidi w:val="0"/>
        <w:ind w:hanging="0" w:start="0" w:end="0"/>
        <w:jc w:val="start"/>
        <w:rPr/>
      </w:pPr>
      <w:r>
        <w:rPr/>
        <w:t xml:space="preserve">3.4 </w:t>
      </w:r>
      <w:r>
        <w:rPr/>
        <w:t>教师介入方式及其特点</w:t>
      </w:r>
    </w:p>
    <w:p>
      <w:pPr>
        <w:pStyle w:val="BodyText"/>
        <w:bidi w:val="0"/>
        <w:ind w:hanging="0" w:start="0" w:end="0"/>
        <w:jc w:val="start"/>
        <w:rPr/>
      </w:pPr>
      <w:r>
        <w:rPr/>
        <w:t xml:space="preserve">3.5 </w:t>
      </w:r>
      <w:r>
        <w:rPr/>
        <w:t>争抢行为及支持问题的成因</w:t>
      </w:r>
    </w:p>
    <w:p>
      <w:pPr>
        <w:pStyle w:val="BodyText"/>
        <w:bidi w:val="0"/>
        <w:ind w:hanging="0" w:start="0" w:end="0"/>
        <w:jc w:val="start"/>
        <w:rPr/>
      </w:pPr>
      <w:r>
        <w:rPr/>
        <w:t xml:space="preserve">4 </w:t>
      </w:r>
      <w:r>
        <w:rPr/>
        <w:t>教师教育支持策略的实践过程与效果</w:t>
      </w:r>
    </w:p>
    <w:p>
      <w:pPr>
        <w:pStyle w:val="BodyText"/>
        <w:bidi w:val="0"/>
        <w:ind w:hanging="0" w:start="0" w:end="0"/>
        <w:jc w:val="start"/>
        <w:rPr/>
      </w:pPr>
      <w:r>
        <w:rPr/>
        <w:t xml:space="preserve">4.1 </w:t>
      </w:r>
      <w:r>
        <w:rPr/>
        <w:t>支持原则与总体框架</w:t>
      </w:r>
    </w:p>
    <w:p>
      <w:pPr>
        <w:pStyle w:val="BodyText"/>
        <w:bidi w:val="0"/>
        <w:ind w:hanging="0" w:start="0" w:end="0"/>
        <w:jc w:val="start"/>
        <w:rPr/>
      </w:pPr>
      <w:r>
        <w:rPr/>
        <w:t xml:space="preserve">4.2 </w:t>
      </w:r>
      <w:r>
        <w:rPr/>
        <w:t>第一轮行动：减少诱因并建立可理解的规则</w:t>
      </w:r>
    </w:p>
    <w:p>
      <w:pPr>
        <w:pStyle w:val="BodyText"/>
        <w:bidi w:val="0"/>
        <w:ind w:hanging="0" w:start="0" w:end="0"/>
        <w:jc w:val="start"/>
        <w:rPr/>
      </w:pPr>
      <w:r>
        <w:rPr/>
        <w:t xml:space="preserve">4.3 </w:t>
      </w:r>
      <w:r>
        <w:rPr/>
        <w:t>第二轮行动：提供语言支架并促进共同解决</w:t>
      </w:r>
    </w:p>
    <w:p>
      <w:pPr>
        <w:pStyle w:val="BodyText"/>
        <w:bidi w:val="0"/>
        <w:ind w:hanging="0" w:start="0" w:end="0"/>
        <w:jc w:val="start"/>
        <w:rPr/>
      </w:pPr>
      <w:r>
        <w:rPr/>
        <w:t xml:space="preserve">4.4 </w:t>
      </w:r>
      <w:r>
        <w:rPr/>
        <w:t>分层介入：依据安全风险和幼儿能力调整支持</w:t>
      </w:r>
    </w:p>
    <w:p>
      <w:pPr>
        <w:pStyle w:val="BodyText"/>
        <w:bidi w:val="0"/>
        <w:ind w:hanging="0" w:start="0" w:end="0"/>
        <w:jc w:val="start"/>
        <w:rPr/>
      </w:pPr>
      <w:r>
        <w:rPr/>
        <w:t xml:space="preserve">4.5 </w:t>
      </w:r>
      <w:r>
        <w:rPr/>
        <w:t>家园协同：形成一致而不过度控制的支持方式</w:t>
      </w:r>
    </w:p>
    <w:p>
      <w:pPr>
        <w:pStyle w:val="BodyText"/>
        <w:bidi w:val="0"/>
        <w:ind w:hanging="0" w:start="0" w:end="0"/>
        <w:jc w:val="start"/>
        <w:rPr/>
      </w:pPr>
      <w:r>
        <w:rPr/>
        <w:t xml:space="preserve">4.6 </w:t>
      </w:r>
      <w:r>
        <w:rPr/>
        <w:t>实践效果分析</w:t>
      </w:r>
    </w:p>
    <w:p>
      <w:pPr>
        <w:pStyle w:val="BodyText"/>
        <w:bidi w:val="0"/>
        <w:ind w:hanging="0" w:start="0" w:end="0"/>
        <w:jc w:val="start"/>
        <w:rPr/>
      </w:pPr>
      <w:r>
        <w:rPr/>
        <w:t xml:space="preserve">5 </w:t>
      </w:r>
      <w:r>
        <w:rPr/>
        <w:t>结论与讨论</w:t>
      </w:r>
    </w:p>
    <w:p>
      <w:pPr>
        <w:pStyle w:val="BodyText"/>
        <w:bidi w:val="0"/>
        <w:ind w:hanging="0" w:start="0" w:end="0"/>
        <w:jc w:val="start"/>
        <w:rPr/>
      </w:pPr>
      <w:r>
        <w:rPr/>
        <w:t xml:space="preserve">5.1 </w:t>
      </w:r>
      <w:r>
        <w:rPr/>
        <w:t>主要研究结论</w:t>
      </w:r>
    </w:p>
    <w:p>
      <w:pPr>
        <w:pStyle w:val="BodyText"/>
        <w:bidi w:val="0"/>
        <w:ind w:hanging="0" w:start="0" w:end="0"/>
        <w:jc w:val="start"/>
        <w:rPr/>
      </w:pPr>
      <w:r>
        <w:rPr/>
        <w:t xml:space="preserve">5.2 </w:t>
      </w:r>
      <w:r>
        <w:rPr/>
        <w:t>讨论</w:t>
      </w:r>
    </w:p>
    <w:p>
      <w:pPr>
        <w:pStyle w:val="BodyText"/>
        <w:bidi w:val="0"/>
        <w:ind w:hanging="0" w:start="0" w:end="0"/>
        <w:jc w:val="start"/>
        <w:rPr/>
      </w:pPr>
      <w:r>
        <w:rPr/>
        <w:t xml:space="preserve">5.3 </w:t>
      </w:r>
      <w:r>
        <w:rPr/>
        <w:t>教师教育支持建议</w:t>
      </w:r>
    </w:p>
    <w:p>
      <w:pPr>
        <w:pStyle w:val="BodyText"/>
        <w:bidi w:val="0"/>
        <w:ind w:hanging="0" w:start="0" w:end="0"/>
        <w:jc w:val="start"/>
        <w:rPr/>
      </w:pPr>
      <w:r>
        <w:rPr/>
        <w:t xml:space="preserve">5.4 </w:t>
      </w:r>
      <w:r>
        <w:rPr/>
        <w:t>研究不足与展望</w:t>
      </w:r>
    </w:p>
    <w:p>
      <w:pPr>
        <w:pStyle w:val="BodyText"/>
        <w:bidi w:val="0"/>
        <w:ind w:hanging="0" w:start="0" w:end="0"/>
        <w:jc w:val="start"/>
        <w:rPr/>
      </w:pPr>
      <w:r>
        <w:rPr/>
        <w:t>参考文献</w:t>
      </w:r>
    </w:p>
    <w:p>
      <w:pPr>
        <w:pStyle w:val="BodyText"/>
        <w:bidi w:val="0"/>
        <w:ind w:hanging="0" w:start="0" w:end="0"/>
        <w:jc w:val="start"/>
        <w:rPr/>
      </w:pPr>
      <w:r>
        <w:rPr/>
        <w:t>附录</w:t>
      </w:r>
    </w:p>
    <w:p>
      <w:pPr>
        <w:pStyle w:val="BodyText"/>
        <w:bidi w:val="0"/>
        <w:ind w:hanging="0" w:start="0" w:end="0"/>
        <w:jc w:val="start"/>
        <w:rPr/>
      </w:pPr>
      <w:r>
        <w:rPr/>
        <w:t>致谢</w:t>
      </w:r>
    </w:p>
    <w:p>
      <w:pPr>
        <w:pStyle w:val="Heading1"/>
        <w:bidi w:val="0"/>
        <w:rPr/>
      </w:pPr>
      <w:r>
        <w:rPr/>
        <w:t xml:space="preserve">1 </w:t>
      </w:r>
      <w:r>
        <w:rPr/>
        <w:t>引言</w:t>
      </w:r>
    </w:p>
    <w:p>
      <w:pPr>
        <w:pStyle w:val="Heading2"/>
        <w:bidi w:val="0"/>
        <w:rPr/>
      </w:pPr>
      <w:r>
        <w:rPr/>
        <w:t xml:space="preserve">1.1 </w:t>
      </w:r>
      <w:r>
        <w:rPr/>
        <w:t>研究背景与问题提出</w:t>
      </w:r>
    </w:p>
    <w:p>
      <w:pPr>
        <w:pStyle w:val="BodyText"/>
        <w:bidi w:val="0"/>
        <w:rPr/>
      </w:pPr>
      <w:r>
        <w:rPr/>
        <w:t>托班幼儿通常处于由家庭生活走向集体生活的初始阶段。进入相对稳定的同伴群体后，幼儿面对的不再是“需要一出现就由成人及时满足”的单一关系，而是多人共同使用玩具、场地和教师注意的复杂情境。幼儿一方面强烈希望操作眼前的物品、进入感兴趣的游戏，另一方面语言表达、延迟满足、情绪调节和观点采择能力尚在发展。由此，当两个幼儿同时指向一辆小车、一个玩偶或同一块操作空间时，直接拿取、拉扯、护物、哭喊甚至推搡便容易出现。</w:t>
      </w:r>
    </w:p>
    <w:p>
      <w:pPr>
        <w:pStyle w:val="BodyText"/>
        <w:bidi w:val="0"/>
        <w:rPr/>
      </w:pPr>
      <w:r>
        <w:rPr/>
        <w:t>2019</w:t>
      </w:r>
      <w:r>
        <w:rPr/>
        <w:t>年国务院办公厅发布的《关于促进</w:t>
      </w:r>
      <w:r>
        <w:rPr/>
        <w:t>3</w:t>
      </w:r>
      <w:r>
        <w:rPr/>
        <w:t>岁以下婴幼儿照护服务发展的指导意见》提出，婴幼儿照护应遵循其成长特点和规律，促进动作、语言、认知、情感与社会性等方面全面发展</w:t>
      </w:r>
      <w:r>
        <w:rPr/>
        <w:t>[1]</w:t>
      </w:r>
      <w:r>
        <w:rPr/>
        <w:t>。国家卫生健康委《托育机构保育指导大纲（试行）》进一步把“尊重儿童、安全健康、积极回应、科学规范”作为基本原则，并针对</w:t>
      </w:r>
      <w:r>
        <w:rPr/>
        <w:t>25—36</w:t>
      </w:r>
      <w:r>
        <w:rPr/>
        <w:t>月龄婴幼儿的情感与社会性发展提出保育要点</w:t>
      </w:r>
      <w:r>
        <w:rPr/>
        <w:t>[2]</w:t>
      </w:r>
      <w:r>
        <w:rPr/>
        <w:t>。这意味着，托班教师处理争抢时既要及时阻止伤害，又不能只追求表面的安静与服从；教师的回应应当让幼儿感到需要被看见，并在可承受的冲突中逐步学会表达、等待、轮流与合作。</w:t>
      </w:r>
    </w:p>
    <w:p>
      <w:pPr>
        <w:pStyle w:val="BodyText"/>
        <w:bidi w:val="0"/>
        <w:rPr/>
      </w:pPr>
      <w:r>
        <w:rPr/>
        <w:t>教育部《幼儿园教育指导纲要（试行）》同样强调，应在共同生活、交往和游戏中引导幼儿学习互助、合作、分享与基本社会规则，并创设接纳、关爱和支持的环境</w:t>
      </w:r>
      <w:r>
        <w:rPr/>
        <w:t>[3]</w:t>
      </w:r>
      <w:r>
        <w:rPr/>
        <w:t>。对于年龄更小的托班幼儿，这一方向需要转化为更短的语言、更具体的工具和更多成人共同调节，而不能直接套用对较大幼儿的要求。</w:t>
      </w:r>
    </w:p>
    <w:p>
      <w:pPr>
        <w:pStyle w:val="BodyText"/>
        <w:bidi w:val="0"/>
        <w:rPr/>
      </w:pPr>
      <w:r>
        <w:rPr/>
        <w:t>在日常保教中，争抢常被教师概括为“抢玩具”“不分享”或“攻击同伴”。有些教师会立即拿走物品、要求一方道歉，或按照“谁先拿到”“谁哭得厉害”快速裁决。这些做法在人员紧张、转换环节忙乱或存在安全风险时有现实理由，但若每次都由成人替代解决，幼儿难以建立稳定的交往脚本，也容易形成“抢到即可获得”“哭闹即可得到”或“发生问题就找教师裁决”的经验。相反，若教师以“让孩子自己解决”为由完全不回应，也可能使力量较弱、语言发展较慢的幼儿反复处于不利位置。</w:t>
      </w:r>
    </w:p>
    <w:p>
      <w:pPr>
        <w:pStyle w:val="BodyText"/>
        <w:bidi w:val="0"/>
        <w:rPr/>
      </w:pPr>
      <w:r>
        <w:rPr/>
        <w:t>因此，本研究不把“彻底消灭争抢”设为目标，而是关注三个更具教育价值的问题：争抢在什么情境下发生、教师何时和如何支持、幼儿能否在支持下形成更具建设性的解决方式。研究尝试从儿童发展与班级生态两个层面理解行为，通过连续观察和两轮行动改进，构建适合托班日常生活的教师教育支持方案。</w:t>
      </w:r>
    </w:p>
    <w:p>
      <w:pPr>
        <w:pStyle w:val="Heading2"/>
        <w:bidi w:val="0"/>
        <w:rPr/>
      </w:pPr>
      <w:r>
        <w:rPr/>
        <w:t xml:space="preserve">1.2 </w:t>
      </w:r>
      <w:r>
        <w:rPr/>
        <w:t>核心概念界定</w:t>
      </w:r>
    </w:p>
    <w:p>
      <w:pPr>
        <w:pStyle w:val="Heading3"/>
        <w:bidi w:val="0"/>
        <w:rPr/>
      </w:pPr>
      <w:r>
        <w:rPr/>
        <w:t xml:space="preserve">1.2.1 </w:t>
      </w:r>
      <w:r>
        <w:rPr/>
        <w:t>托班幼儿</w:t>
      </w:r>
    </w:p>
    <w:p>
      <w:pPr>
        <w:pStyle w:val="BodyText"/>
        <w:bidi w:val="0"/>
        <w:rPr/>
      </w:pPr>
      <w:r>
        <w:rPr/>
        <w:t>本文所称托班幼儿，主要指在幼儿园托班或托育机构集体照护中生活的</w:t>
      </w:r>
      <w:r>
        <w:rPr/>
        <w:t>2—3</w:t>
      </w:r>
      <w:r>
        <w:rPr/>
        <w:t>岁幼儿。该年龄段幼儿开始表现出明显的自主需要，能够使用动作、单词或短句表达意愿，但在控制冲动、持续等待、理解所有权与轮流规则、站在同伴立场思考等方面仍需要成人支持。</w:t>
      </w:r>
      <w:r>
        <w:rPr/>
        <w:t>Parten</w:t>
      </w:r>
      <w:r>
        <w:rPr/>
        <w:t>的社会参与研究显示，低龄幼儿较多处于独自游戏与平行游戏形态</w:t>
      </w:r>
      <w:r>
        <w:rPr/>
        <w:t>[4]</w:t>
      </w:r>
      <w:r>
        <w:rPr/>
        <w:t>；他们会关注和模仿同伴，却不一定掌握稳定加入游戏的方式。文中对</w:t>
      </w:r>
      <w:r>
        <w:rPr/>
        <w:t>3—6</w:t>
      </w:r>
      <w:r>
        <w:rPr/>
        <w:t>岁幼儿政策和研究的引用仅作为相邻发展阶段的参考，具体分析以</w:t>
      </w:r>
      <w:r>
        <w:rPr/>
        <w:t>25—36</w:t>
      </w:r>
      <w:r>
        <w:rPr/>
        <w:t>月龄的发展特点为主要依据。</w:t>
      </w:r>
    </w:p>
    <w:p>
      <w:pPr>
        <w:pStyle w:val="Heading3"/>
        <w:bidi w:val="0"/>
        <w:rPr/>
      </w:pPr>
      <w:r>
        <w:rPr/>
        <w:t xml:space="preserve">1.2.2 </w:t>
      </w:r>
      <w:r>
        <w:rPr/>
        <w:t>争抢行为</w:t>
      </w:r>
    </w:p>
    <w:p>
      <w:pPr>
        <w:pStyle w:val="BodyText"/>
        <w:bidi w:val="0"/>
        <w:rPr/>
      </w:pPr>
      <w:r>
        <w:rPr/>
        <w:t>争抢行为是同伴冲突的一种外显形式。借鉴</w:t>
      </w:r>
      <w:r>
        <w:rPr/>
        <w:t>Hay</w:t>
      </w:r>
      <w:r>
        <w:rPr/>
        <w:t>和</w:t>
      </w:r>
      <w:r>
        <w:rPr/>
        <w:t>Ross</w:t>
      </w:r>
      <w:r>
        <w:rPr/>
        <w:t>对早期冲突的双向界定</w:t>
      </w:r>
      <w:r>
        <w:rPr/>
        <w:t>[5]</w:t>
      </w:r>
      <w:r>
        <w:rPr/>
        <w:t>，本文将争抢界定为：一名幼儿试图取得、继续控制或排他性使用某项物品、空间、活动机会或成人注意，另一名幼儿以拒绝、抵抗、报复、哭喊、护物或求助等可观察方式表示反对。只有“取得行为”而没有对方抵抗，不计为争抢；偶然碰撞、共同追逐、模仿动作以及对无人使用材料的拿取也不计入。</w:t>
      </w:r>
    </w:p>
    <w:p>
      <w:pPr>
        <w:pStyle w:val="BodyText"/>
        <w:bidi w:val="0"/>
        <w:rPr/>
      </w:pPr>
      <w:r>
        <w:rPr/>
        <w:t>争抢事件从一方的控制行为遭到另一方明确反对时开始，至双方连续</w:t>
      </w:r>
      <w:r>
        <w:rPr/>
        <w:t>10</w:t>
      </w:r>
      <w:r>
        <w:rPr/>
        <w:t>秒不再围绕同一目标对抗、共同接受解决方案、其中一方离开，或活动情境转换时结束。争抢不等同于攻击。推、打、咬等行为可能在争抢中出现，但只有在能够判断以伤害为目的时才可称为攻击；对托班幼儿应谨慎使用道德化和病理化标签。</w:t>
      </w:r>
    </w:p>
    <w:p>
      <w:pPr>
        <w:pStyle w:val="Heading3"/>
        <w:bidi w:val="0"/>
        <w:rPr/>
      </w:pPr>
      <w:r>
        <w:rPr/>
        <w:t xml:space="preserve">1.2.3 </w:t>
      </w:r>
      <w:r>
        <w:rPr/>
        <w:t>教师教育支持</w:t>
      </w:r>
    </w:p>
    <w:p>
      <w:pPr>
        <w:pStyle w:val="BodyText"/>
        <w:bidi w:val="0"/>
        <w:rPr/>
      </w:pPr>
      <w:r>
        <w:rPr/>
        <w:t>教师教育支持是教师基于观察和儿童发展判断，为保障安全、回应情绪并促进幼儿学习冲突解决能力而采取的环境性与互动性措施。环境性支持包括材料配置、空间安排、流程调整和规则提示；互动性支持包括等待观察、安全制止、描述事实、命名情绪、提示表达、倾听双方、引导提出方案和跟进强化。支持强调“与幼儿一起解决”，而非一味“替幼儿解决”。</w:t>
      </w:r>
    </w:p>
    <w:p>
      <w:pPr>
        <w:pStyle w:val="Heading2"/>
        <w:bidi w:val="0"/>
        <w:rPr/>
      </w:pPr>
      <w:r>
        <w:rPr/>
        <w:t xml:space="preserve">1.3 </w:t>
      </w:r>
      <w:r>
        <w:rPr/>
        <w:t>国内外研究现状</w:t>
      </w:r>
    </w:p>
    <w:p>
      <w:pPr>
        <w:pStyle w:val="Heading3"/>
        <w:bidi w:val="0"/>
        <w:rPr/>
      </w:pPr>
      <w:r>
        <w:rPr/>
        <w:t xml:space="preserve">1.3.1 </w:t>
      </w:r>
      <w:r>
        <w:rPr/>
        <w:t>关于托班同伴交往与争抢特点的研究</w:t>
      </w:r>
    </w:p>
    <w:p>
      <w:pPr>
        <w:pStyle w:val="BodyText"/>
        <w:bidi w:val="0"/>
        <w:rPr/>
      </w:pPr>
      <w:r>
        <w:rPr/>
        <w:t>Parten</w:t>
      </w:r>
      <w:r>
        <w:rPr/>
        <w:t>的经典观察将幼儿游戏的社会参与形式分为独自游戏、平行游戏、联合游戏和合作游戏等类型，指出年龄较小的幼儿较多进行平行游戏</w:t>
      </w:r>
      <w:r>
        <w:rPr/>
        <w:t>[4]</w:t>
      </w:r>
      <w:r>
        <w:rPr/>
        <w:t>。平行游戏并不意味着幼儿对同伴没有兴趣。相反，托班幼儿常被同伴手中的物品和操作方式吸引，却还不具备稳定加入游戏的策略，这使“想参与”容易表现为直接取走材料。</w:t>
      </w:r>
    </w:p>
    <w:p>
      <w:pPr>
        <w:pStyle w:val="BodyText"/>
        <w:bidi w:val="0"/>
        <w:rPr/>
      </w:pPr>
      <w:r>
        <w:rPr/>
        <w:t>Hay</w:t>
      </w:r>
      <w:r>
        <w:rPr/>
        <w:t>和</w:t>
      </w:r>
      <w:r>
        <w:rPr/>
        <w:t>Ross</w:t>
      </w:r>
      <w:r>
        <w:rPr/>
        <w:t>观察</w:t>
      </w:r>
      <w:r>
        <w:rPr/>
        <w:t>21</w:t>
      </w:r>
      <w:r>
        <w:rPr/>
        <w:t>月龄幼儿发现，记录到的冲突中大部分围绕玩具展开，且这些冲突具有互动结构与沟通内容</w:t>
      </w:r>
      <w:r>
        <w:rPr/>
        <w:t>[5]</w:t>
      </w:r>
      <w:r>
        <w:rPr/>
        <w:t>。</w:t>
      </w:r>
      <w:r>
        <w:rPr/>
        <w:t>Ashby</w:t>
      </w:r>
      <w:r>
        <w:rPr/>
        <w:t>和</w:t>
      </w:r>
      <w:r>
        <w:rPr/>
        <w:t>Neilsen-Hewett</w:t>
      </w:r>
      <w:r>
        <w:rPr/>
        <w:t>对</w:t>
      </w:r>
      <w:r>
        <w:rPr/>
        <w:t>2</w:t>
      </w:r>
      <w:r>
        <w:rPr/>
        <w:t>岁多幼儿的研究同样表明，物品占有是主要冲突来源，幼儿常使用坚持占有或让步，真正协商较少</w:t>
      </w:r>
      <w:r>
        <w:rPr/>
        <w:t>[6]</w:t>
      </w:r>
      <w:r>
        <w:rPr/>
        <w:t>。这些研究提示，争抢不是孤立的“坏行为”，而是幼儿在同伴关系中表达目标、测试边界和积累社会经验的一种方式。</w:t>
      </w:r>
    </w:p>
    <w:p>
      <w:pPr>
        <w:pStyle w:val="BodyText"/>
        <w:bidi w:val="0"/>
        <w:rPr/>
      </w:pPr>
      <w:r>
        <w:rPr/>
        <w:t>国内关于幼儿同伴冲突的研究多以</w:t>
      </w:r>
      <w:r>
        <w:rPr/>
        <w:t>3—6</w:t>
      </w:r>
      <w:r>
        <w:rPr/>
        <w:t>岁幼儿为对象。张芳芳、刘格格采用观察和访谈发现，物品与空间争议是同伴冲突的重要起因，随年龄增长，幼儿积极解决策略逐渐增加</w:t>
      </w:r>
      <w:r>
        <w:rPr/>
        <w:t>[7]</w:t>
      </w:r>
      <w:r>
        <w:rPr/>
        <w:t>。张凤、冯晓霞指出，冲突解决策略与幼儿理解他人心理状态的能力存在联系</w:t>
      </w:r>
      <w:r>
        <w:rPr/>
        <w:t>[8]</w:t>
      </w:r>
      <w:r>
        <w:rPr/>
        <w:t>。向海英、孙文杰的研究则把幼儿应对与教师干预态度结合起来，说明成人对冲突价值的认识会影响介入方式</w:t>
      </w:r>
      <w:r>
        <w:rPr/>
        <w:t>[9]</w:t>
      </w:r>
      <w:r>
        <w:rPr/>
        <w:t>。不过，专门聚焦</w:t>
      </w:r>
      <w:r>
        <w:rPr/>
        <w:t>2—3</w:t>
      </w:r>
      <w:r>
        <w:rPr/>
        <w:t>岁托班的国内实证研究仍相对不足，已有结论不能不加区分地移用于年龄更小、语言能力差异更明显的幼儿。</w:t>
      </w:r>
    </w:p>
    <w:p>
      <w:pPr>
        <w:pStyle w:val="Heading3"/>
        <w:bidi w:val="0"/>
        <w:rPr/>
      </w:pPr>
      <w:r>
        <w:rPr/>
        <w:t xml:space="preserve">1.3.2 </w:t>
      </w:r>
      <w:r>
        <w:rPr/>
        <w:t>关于教师介入时机与方式的研究</w:t>
      </w:r>
    </w:p>
    <w:p>
      <w:pPr>
        <w:pStyle w:val="BodyText"/>
        <w:bidi w:val="0"/>
        <w:rPr/>
      </w:pPr>
      <w:r>
        <w:rPr/>
        <w:t>教师是否应介入同伴冲突，不能用“介入”或“不介入”的二分答案解决。</w:t>
      </w:r>
      <w:r>
        <w:rPr/>
        <w:t>Hongo</w:t>
      </w:r>
      <w:r>
        <w:rPr/>
        <w:t>等人的追踪观察发现，随着幼儿成长，教师介入中的中介性功能——如描述同伴行为、指导提出请求——逐渐增加，单纯身体制止和提供替代物则减少</w:t>
      </w:r>
      <w:r>
        <w:rPr/>
        <w:t>[10]</w:t>
      </w:r>
      <w:r>
        <w:rPr/>
        <w:t>。</w:t>
      </w:r>
      <w:r>
        <w:rPr/>
        <w:t>Gloeckler</w:t>
      </w:r>
      <w:r>
        <w:rPr/>
        <w:t>和</w:t>
      </w:r>
      <w:r>
        <w:rPr/>
        <w:t>Cassell</w:t>
      </w:r>
      <w:r>
        <w:rPr/>
        <w:t>主张把幼儿社会冲突视为问题解决机会，教师应由“替幼儿解决”转向“与幼儿共同解决”</w:t>
      </w:r>
      <w:r>
        <w:rPr/>
        <w:t>[11]</w:t>
      </w:r>
      <w:r>
        <w:rPr/>
        <w:t>。</w:t>
      </w:r>
      <w:r>
        <w:rPr/>
        <w:t>Bayer</w:t>
      </w:r>
      <w:r>
        <w:rPr/>
        <w:t>等人分析托班争端中的教师话语策略，提示教师最初是要求注意、直接制止，还是邀请幼儿识别问题，会引出不同的互动路径</w:t>
      </w:r>
      <w:r>
        <w:rPr/>
        <w:t>[12]</w:t>
      </w:r>
      <w:r>
        <w:rPr/>
        <w:t>。</w:t>
      </w:r>
    </w:p>
    <w:p>
      <w:pPr>
        <w:pStyle w:val="BodyText"/>
        <w:bidi w:val="0"/>
        <w:rPr/>
      </w:pPr>
      <w:r>
        <w:rPr/>
        <w:t>近年的课堂观察进一步支持“介入要有条件”。</w:t>
      </w:r>
      <w:r>
        <w:rPr/>
        <w:t>Myrtil</w:t>
      </w:r>
      <w:r>
        <w:rPr/>
        <w:t>等人发现，教师在学前儿童冲突中较常使用终止性策略，但调解性策略与更积极的结果相关</w:t>
      </w:r>
      <w:r>
        <w:rPr/>
        <w:t>[13]</w:t>
      </w:r>
      <w:r>
        <w:rPr/>
        <w:t>。与此同时，</w:t>
      </w:r>
      <w:r>
        <w:rPr/>
        <w:t>Roseth</w:t>
      </w:r>
      <w:r>
        <w:rPr/>
        <w:t>等人的研究提醒，不合时宜的介入可能打断幼儿本来自发的解决过程</w:t>
      </w:r>
      <w:r>
        <w:rPr/>
        <w:t>[14]</w:t>
      </w:r>
      <w:r>
        <w:rPr/>
        <w:t>。因此，教师既不应放任可能升级的身体冲突，也不宜在幼儿尚能协商时过早裁决。介入应根据伤害风险、情绪强度、权力差异、幼儿求助情况以及其既有能力动态决定。</w:t>
      </w:r>
    </w:p>
    <w:p>
      <w:pPr>
        <w:pStyle w:val="Heading3"/>
        <w:bidi w:val="0"/>
        <w:rPr/>
      </w:pPr>
      <w:r>
        <w:rPr/>
        <w:t xml:space="preserve">1.3.3 </w:t>
      </w:r>
      <w:r>
        <w:rPr/>
        <w:t>既有研究的启示与不足</w:t>
      </w:r>
    </w:p>
    <w:p>
      <w:pPr>
        <w:pStyle w:val="BodyText"/>
        <w:bidi w:val="0"/>
        <w:rPr/>
      </w:pPr>
      <w:r>
        <w:rPr/>
        <w:t>既有研究形成三点共识。第一，物品与空间控制是低龄幼儿冲突的突出来源；第二，冲突具有社会学习价值，不能只作为纪律问题；第三，教师调解和语言支架比单纯停止、分开或替代更可能促进能力发展。但已有研究存在三方面不足：其一，国内研究对象较多集中在小、中、大班，对托班关注不足；其二，一些研究只描述幼儿行为，较少把材料供给、活动流程和教师回应放在同一生态系统中分析；其三，关于支持效果的评价常依赖教师感受，缺少前后连续观察。本文据此尝试采用“现状观察—问题诊断—行动改进—持续评价”的路径，形成可在班级日常生活中实施的策略。</w:t>
      </w:r>
    </w:p>
    <w:p>
      <w:pPr>
        <w:pStyle w:val="Heading2"/>
        <w:bidi w:val="0"/>
        <w:rPr/>
      </w:pPr>
      <w:r>
        <w:rPr/>
        <w:t xml:space="preserve">1.4 </w:t>
      </w:r>
      <w:r>
        <w:rPr/>
        <w:t>研究目的与研究问题</w:t>
      </w:r>
    </w:p>
    <w:p>
      <w:pPr>
        <w:pStyle w:val="BodyText"/>
        <w:bidi w:val="0"/>
        <w:rPr/>
      </w:pPr>
      <w:r>
        <w:rPr/>
        <w:t>本研究旨在了解托班争抢行为的具体样态，分析其与班级环境、幼儿发展及教师回应之间的关系，在保障安全的前提下形成可操作的教育支持策略。研究围绕以下问题展开：</w:t>
      </w:r>
    </w:p>
    <w:p>
      <w:pPr>
        <w:pStyle w:val="BodyText"/>
        <w:bidi w:val="0"/>
        <w:rPr/>
      </w:pPr>
      <w:r>
        <w:rPr/>
        <w:t>第一，托班幼儿争抢行为的发生频率、主要情境、争抢对象和诱因是什么？</w:t>
      </w:r>
    </w:p>
    <w:p>
      <w:pPr>
        <w:pStyle w:val="BodyText"/>
        <w:bidi w:val="0"/>
        <w:rPr/>
      </w:pPr>
      <w:r>
        <w:rPr/>
        <w:t>第二，争抢发生时，幼儿通常采用哪些表达和解决方式，教师通常如何介入？</w:t>
      </w:r>
    </w:p>
    <w:p>
      <w:pPr>
        <w:pStyle w:val="BodyText"/>
        <w:bidi w:val="0"/>
        <w:rPr/>
      </w:pPr>
      <w:r>
        <w:rPr/>
        <w:t>第三，现有教师支持中存在哪些问题，其原因是什么？</w:t>
      </w:r>
    </w:p>
    <w:p>
      <w:pPr>
        <w:pStyle w:val="BodyText"/>
        <w:bidi w:val="0"/>
        <w:rPr/>
      </w:pPr>
      <w:r>
        <w:rPr/>
        <w:t>第四，经过环境调整、互动支架和家园协同后，争抢事件发生率、幼儿建设性解决方式及教师介入方式是否发生变化？</w:t>
      </w:r>
    </w:p>
    <w:p>
      <w:pPr>
        <w:pStyle w:val="Heading2"/>
        <w:bidi w:val="0"/>
        <w:rPr/>
      </w:pPr>
      <w:r>
        <w:rPr/>
        <w:t xml:space="preserve">1.5 </w:t>
      </w:r>
      <w:r>
        <w:rPr/>
        <w:t>研究意义</w:t>
      </w:r>
    </w:p>
    <w:p>
      <w:pPr>
        <w:pStyle w:val="BodyText"/>
        <w:bidi w:val="0"/>
        <w:rPr/>
      </w:pPr>
      <w:r>
        <w:rPr/>
        <w:t>在理论层面，本研究把争抢理解为幼儿目标冲突与早期社会互动，而非单一违规行为，有助于补充托班年龄段的本土观察资料。在实践层面，研究形成了从预防、观察到分层介入和事后复盘的支持流程，可帮助教师避免“立即裁决”与“完全不管”两个极端。在儿童发展层面，研究关注幼儿能否获得表达需要、识别情绪、等待轮流、理解他人和共同解决问题的经验。对托班而言，争抢次数下降固然重要，但更重要的变化是幼儿在冲突中逐渐能够用动作和简单语言替代拉抢，并在教师支架下恢复共同游戏。</w:t>
      </w:r>
    </w:p>
    <w:p>
      <w:pPr>
        <w:pStyle w:val="Heading1"/>
        <w:bidi w:val="0"/>
        <w:rPr/>
      </w:pPr>
      <w:r>
        <w:rPr/>
        <w:t xml:space="preserve">2 </w:t>
      </w:r>
      <w:r>
        <w:rPr/>
        <w:t>调研方法</w:t>
      </w:r>
    </w:p>
    <w:p>
      <w:pPr>
        <w:pStyle w:val="Heading2"/>
        <w:bidi w:val="0"/>
        <w:rPr/>
      </w:pPr>
      <w:r>
        <w:rPr/>
        <w:t xml:space="preserve">2.1 </w:t>
      </w:r>
      <w:r>
        <w:rPr/>
        <w:t>研究场域与对象</w:t>
      </w:r>
    </w:p>
    <w:p>
      <w:pPr>
        <w:pStyle w:val="BodyText"/>
        <w:bidi w:val="0"/>
        <w:rPr/>
      </w:pPr>
      <w:r>
        <w:rPr/>
        <w:t>【以下为示范信息，须按实际情况替换】研究在某市</w:t>
      </w:r>
      <w:r>
        <w:rPr/>
        <w:t>A</w:t>
      </w:r>
      <w:r>
        <w:rPr/>
        <w:t>幼儿园一个托班开展。班级共有</w:t>
      </w:r>
      <w:r>
        <w:rPr/>
        <w:t>24</w:t>
      </w:r>
      <w:r>
        <w:rPr/>
        <w:t>名幼儿，其中男童</w:t>
      </w:r>
      <w:r>
        <w:rPr/>
        <w:t>13</w:t>
      </w:r>
      <w:r>
        <w:rPr/>
        <w:t>名、女童</w:t>
      </w:r>
      <w:r>
        <w:rPr/>
        <w:t>11</w:t>
      </w:r>
      <w:r>
        <w:rPr/>
        <w:t>名；研究开始时月龄为</w:t>
      </w:r>
      <w:r>
        <w:rPr/>
        <w:t>27—35</w:t>
      </w:r>
      <w:r>
        <w:rPr/>
        <w:t>个月，平均月龄</w:t>
      </w:r>
      <w:r>
        <w:rPr/>
        <w:t>31.2</w:t>
      </w:r>
      <w:r>
        <w:rPr/>
        <w:t>个月。班级配有主班教师、配班教师和保育教师各</w:t>
      </w:r>
      <w:r>
        <w:rPr/>
        <w:t>1</w:t>
      </w:r>
      <w:r>
        <w:rPr/>
        <w:t>名。三名教师教龄分别为</w:t>
      </w:r>
      <w:r>
        <w:rPr/>
        <w:t>8</w:t>
      </w:r>
      <w:r>
        <w:rPr/>
        <w:t>年、</w:t>
      </w:r>
      <w:r>
        <w:rPr/>
        <w:t>3</w:t>
      </w:r>
      <w:r>
        <w:rPr/>
        <w:t>年和</w:t>
      </w:r>
      <w:r>
        <w:rPr/>
        <w:t>6</w:t>
      </w:r>
      <w:r>
        <w:rPr/>
        <w:t>年，其中两名具有学前教育专业背景。研究对象为班级全体幼儿的自然互动，重点分析争抢事件中的双方及教师回应，不把任何幼儿固定标记为“抢人物”或“被抢者”。</w:t>
      </w:r>
    </w:p>
    <w:p>
      <w:pPr>
        <w:pStyle w:val="BodyText"/>
        <w:bidi w:val="0"/>
        <w:rPr/>
      </w:pPr>
      <w:r>
        <w:rPr/>
        <w:t>选择该班的原因有三点：一是幼儿已基本度过入园初期的强烈分离焦虑，能够参与日常游戏；二是教师反映自由游戏和过渡环节的争抢较多，具有真实改进需要；三是研究者能够连续进入现场观察并与教师共同复盘。园名、教师和幼儿均采用代称，不记录与研究无关的个人信息。</w:t>
      </w:r>
    </w:p>
    <w:p>
      <w:pPr>
        <w:pStyle w:val="Heading2"/>
        <w:bidi w:val="0"/>
        <w:rPr/>
      </w:pPr>
      <w:r>
        <w:rPr/>
        <w:t xml:space="preserve">2.2 </w:t>
      </w:r>
      <w:r>
        <w:rPr/>
        <w:t>研究思路与阶段</w:t>
      </w:r>
    </w:p>
    <w:p>
      <w:pPr>
        <w:pStyle w:val="BodyText"/>
        <w:bidi w:val="0"/>
        <w:rPr/>
      </w:pPr>
      <w:r>
        <w:rPr/>
        <w:t>研究采用小规模行动研究设计，按“计划—行动—观察—反思—再行动”推进，共分四个阶段。</w:t>
      </w:r>
    </w:p>
    <w:p>
      <w:pPr>
        <w:pStyle w:val="BodyText"/>
        <w:bidi w:val="0"/>
        <w:rPr/>
      </w:pPr>
      <w:r>
        <w:rPr/>
        <w:t>第一阶段为准备期，共</w:t>
      </w:r>
      <w:r>
        <w:rPr/>
        <w:t>1</w:t>
      </w:r>
      <w:r>
        <w:rPr/>
        <w:t>周。研究者与教师讨论争抢定义和记录标准，对班级材料、空间、作息及既有规则进行初步了解，向园方和监护人说明研究目的、资料使用方式和退出权利。</w:t>
      </w:r>
    </w:p>
    <w:p>
      <w:pPr>
        <w:pStyle w:val="BodyText"/>
        <w:bidi w:val="0"/>
        <w:rPr/>
      </w:pPr>
      <w:r>
        <w:rPr/>
        <w:t>第二阶段为基线观察期，共</w:t>
      </w:r>
      <w:r>
        <w:rPr/>
        <w:t>3</w:t>
      </w:r>
      <w:r>
        <w:rPr/>
        <w:t>周、</w:t>
      </w:r>
      <w:r>
        <w:rPr/>
        <w:t>15</w:t>
      </w:r>
      <w:r>
        <w:rPr/>
        <w:t>个在园日。每天固定观察自由游戏</w:t>
      </w:r>
      <w:r>
        <w:rPr/>
        <w:t>30</w:t>
      </w:r>
      <w:r>
        <w:rPr/>
        <w:t>分钟和一个过渡或户外活动时段</w:t>
      </w:r>
      <w:r>
        <w:rPr/>
        <w:t>30</w:t>
      </w:r>
      <w:r>
        <w:rPr/>
        <w:t>分钟，共形成</w:t>
      </w:r>
      <w:r>
        <w:rPr/>
        <w:t>15</w:t>
      </w:r>
      <w:r>
        <w:rPr/>
        <w:t>小时等时观察资料。该阶段不额外改变教师做法，只记录自然发生的争抢和日常介入。</w:t>
      </w:r>
    </w:p>
    <w:p>
      <w:pPr>
        <w:pStyle w:val="BodyText"/>
        <w:bidi w:val="0"/>
        <w:rPr/>
      </w:pPr>
      <w:r>
        <w:rPr/>
        <w:t>第三阶段为行动实施期，共</w:t>
      </w:r>
      <w:r>
        <w:rPr/>
        <w:t>6</w:t>
      </w:r>
      <w:r>
        <w:rPr/>
        <w:t>周、</w:t>
      </w:r>
      <w:r>
        <w:rPr/>
        <w:t>30</w:t>
      </w:r>
      <w:r>
        <w:rPr/>
        <w:t>个在园日。前</w:t>
      </w:r>
      <w:r>
        <w:rPr/>
        <w:t>3</w:t>
      </w:r>
      <w:r>
        <w:rPr/>
        <w:t>周实施第一轮行动，重点调整材料、空间、流程和可视化规则；后</w:t>
      </w:r>
      <w:r>
        <w:rPr/>
        <w:t>3</w:t>
      </w:r>
      <w:r>
        <w:rPr/>
        <w:t>周在第一轮基础上实施第二轮行动，重点使用情绪回应和“停—说—听—想—试”语言支架。每天保持</w:t>
      </w:r>
      <w:r>
        <w:rPr/>
        <w:t>60</w:t>
      </w:r>
      <w:r>
        <w:rPr/>
        <w:t>分钟等时观察，两轮各</w:t>
      </w:r>
      <w:r>
        <w:rPr/>
        <w:t>15</w:t>
      </w:r>
      <w:r>
        <w:rPr/>
        <w:t>小时。每周召开一次约</w:t>
      </w:r>
      <w:r>
        <w:rPr/>
        <w:t>30</w:t>
      </w:r>
      <w:r>
        <w:rPr/>
        <w:t>分钟的教师复盘会，根据记录调整方案。</w:t>
      </w:r>
    </w:p>
    <w:p>
      <w:pPr>
        <w:pStyle w:val="BodyText"/>
        <w:bidi w:val="0"/>
        <w:rPr/>
      </w:pPr>
      <w:r>
        <w:rPr/>
        <w:t>第四阶段为追踪期，共</w:t>
      </w:r>
      <w:r>
        <w:rPr/>
        <w:t>2</w:t>
      </w:r>
      <w:r>
        <w:rPr/>
        <w:t>周、</w:t>
      </w:r>
      <w:r>
        <w:rPr/>
        <w:t>10</w:t>
      </w:r>
      <w:r>
        <w:rPr/>
        <w:t>个在园日。停止集中提醒，但保留已建立的环境和日常规则，观察支持效果是否维持，共收集</w:t>
      </w:r>
      <w:r>
        <w:rPr/>
        <w:t>10</w:t>
      </w:r>
      <w:r>
        <w:rPr/>
        <w:t>小时资料。研究总等时观察为</w:t>
      </w:r>
      <w:r>
        <w:rPr/>
        <w:t>55</w:t>
      </w:r>
      <w:r>
        <w:rPr/>
        <w:t>小时。研究者另对</w:t>
      </w:r>
      <w:r>
        <w:rPr/>
        <w:t>3</w:t>
      </w:r>
      <w:r>
        <w:rPr/>
        <w:t>名教师各进行</w:t>
      </w:r>
      <w:r>
        <w:rPr/>
        <w:t>2</w:t>
      </w:r>
      <w:r>
        <w:rPr/>
        <w:t>次半结构访谈，每次约</w:t>
      </w:r>
      <w:r>
        <w:rPr/>
        <w:t>20—30</w:t>
      </w:r>
      <w:r>
        <w:rPr/>
        <w:t>分钟。</w:t>
      </w:r>
    </w:p>
    <w:p>
      <w:pPr>
        <w:pStyle w:val="Heading2"/>
        <w:bidi w:val="0"/>
        <w:rPr/>
      </w:pPr>
      <w:r>
        <w:rPr/>
        <w:t xml:space="preserve">2.3 </w:t>
      </w:r>
      <w:r>
        <w:rPr/>
        <w:t>研究方法</w:t>
      </w:r>
    </w:p>
    <w:p>
      <w:pPr>
        <w:pStyle w:val="Heading3"/>
        <w:bidi w:val="0"/>
        <w:rPr/>
      </w:pPr>
      <w:r>
        <w:rPr/>
        <w:t xml:space="preserve">2.3.1 </w:t>
      </w:r>
      <w:r>
        <w:rPr/>
        <w:t>文献法</w:t>
      </w:r>
    </w:p>
    <w:p>
      <w:pPr>
        <w:pStyle w:val="BodyText"/>
        <w:bidi w:val="0"/>
        <w:rPr/>
      </w:pPr>
      <w:r>
        <w:rPr/>
        <w:t>围绕“托班幼儿”“争抢行为”“同伴冲突”“教师介入”“冲突解决”等主题检索政策、专著和期刊论文，梳理争抢的概念、年龄特点、观察方法和教育支持原则。文献结论用于形成分析框架，不直接替代本班资料。</w:t>
      </w:r>
    </w:p>
    <w:p>
      <w:pPr>
        <w:pStyle w:val="Heading3"/>
        <w:bidi w:val="0"/>
        <w:rPr/>
      </w:pPr>
      <w:r>
        <w:rPr/>
        <w:t xml:space="preserve">2.3.2 </w:t>
      </w:r>
      <w:r>
        <w:rPr/>
        <w:t>事件取样观察法</w:t>
      </w:r>
    </w:p>
    <w:p>
      <w:pPr>
        <w:pStyle w:val="BodyText"/>
        <w:bidi w:val="0"/>
        <w:rPr/>
      </w:pPr>
      <w:r>
        <w:rPr/>
        <w:t>事件取样以完整争抢事件为记录单位。观察者在不干扰活动的固定位置记录发生时间、活动环节、争抢目标、先行事件、双方动作与语言、教师何时注意到、采取何种策略、幼儿反应、解决结果及后续游戏。若经园方和监护人书面同意，可使用固定机位录像辅助回看；未经同意则只做去身份化文字记录，不拍摄、不公开儿童影像。</w:t>
      </w:r>
    </w:p>
    <w:p>
      <w:pPr>
        <w:pStyle w:val="Heading3"/>
        <w:bidi w:val="0"/>
        <w:rPr/>
      </w:pPr>
      <w:r>
        <w:rPr/>
        <w:t xml:space="preserve">2.3.3 </w:t>
      </w:r>
      <w:r>
        <w:rPr/>
        <w:t>半结构访谈法</w:t>
      </w:r>
    </w:p>
    <w:p>
      <w:pPr>
        <w:pStyle w:val="BodyText"/>
        <w:bidi w:val="0"/>
        <w:rPr/>
      </w:pPr>
      <w:r>
        <w:rPr/>
        <w:t>访谈了解教师如何判断争抢性质、通常在何种情况下介入、最困难的情境是什么、对“分享”和“轮流”的理解、行动前后观念与做法的变化。访谈不用于评价教师优劣，而用于解释观察资料和共同改进策略。</w:t>
      </w:r>
    </w:p>
    <w:p>
      <w:pPr>
        <w:pStyle w:val="Heading3"/>
        <w:bidi w:val="0"/>
        <w:rPr/>
      </w:pPr>
      <w:r>
        <w:rPr/>
        <w:t xml:space="preserve">2.3.4 </w:t>
      </w:r>
      <w:r>
        <w:rPr/>
        <w:t>行动研究法</w:t>
      </w:r>
    </w:p>
    <w:p>
      <w:pPr>
        <w:pStyle w:val="BodyText"/>
        <w:bidi w:val="0"/>
        <w:rPr/>
      </w:pPr>
      <w:r>
        <w:rPr/>
        <w:t>研究者与班级教师依据基线结果共同制定策略，每周对典型事件进行复盘：哪些是环境诱因，哪些需要立即制止，教师说了什么，幼儿是否获得表达机会，方案是否被真正执行。第一轮解决“材料和规则不支持”的问题，第二轮解决“教师话语替代幼儿思考”的问题，再通过追踪观察检查效果。</w:t>
      </w:r>
    </w:p>
    <w:p>
      <w:pPr>
        <w:pStyle w:val="Heading2"/>
        <w:bidi w:val="0"/>
        <w:rPr/>
      </w:pPr>
      <w:r>
        <w:rPr/>
        <w:t xml:space="preserve">2.4 </w:t>
      </w:r>
      <w:r>
        <w:rPr/>
        <w:t>观察指标与编码规则</w:t>
      </w:r>
    </w:p>
    <w:p>
      <w:pPr>
        <w:pStyle w:val="BodyText"/>
        <w:bidi w:val="0"/>
        <w:rPr/>
      </w:pPr>
      <w:r>
        <w:rPr/>
        <w:t>为提高记录的一致性，本文设置五组指标。</w:t>
      </w:r>
    </w:p>
    <w:p>
      <w:pPr>
        <w:pStyle w:val="BodyText"/>
        <w:bidi w:val="0"/>
        <w:rPr/>
      </w:pPr>
      <w:r>
        <w:rPr/>
        <w:t>第一，争抢目标：玩具或操作材料、空间或座位、活动次序或轮次、教师注意、游戏角色或规则、其他。</w:t>
      </w:r>
    </w:p>
    <w:p>
      <w:pPr>
        <w:pStyle w:val="BodyText"/>
        <w:bidi w:val="0"/>
        <w:rPr/>
      </w:pPr>
      <w:r>
        <w:rPr/>
        <w:t>第二，主要表现：直接拿取或拉扯、护物或身体阻挡、口头请求或拒绝、哭喊、推打咬等高风险动作、求助教师、离开或让步。一次事件可能含多种表现，统计“首个主要反应”时只编码最先出现且最能反映解决方向的一项。</w:t>
      </w:r>
    </w:p>
    <w:p>
      <w:pPr>
        <w:pStyle w:val="BodyText"/>
        <w:bidi w:val="0"/>
        <w:rPr/>
      </w:pPr>
      <w:r>
        <w:rPr/>
        <w:t>第三，教师介入方式：等待观察；安全制止；直接裁决或分配；转移注意或提供替代物；规则命令；情绪回应；调解与共同解决。教师策略可多选，但比较前后变化时以事件中的主导策略编码。</w:t>
      </w:r>
    </w:p>
    <w:p>
      <w:pPr>
        <w:pStyle w:val="BodyText"/>
        <w:bidi w:val="0"/>
        <w:rPr/>
      </w:pPr>
      <w:r>
        <w:rPr/>
        <w:t>第四，解决结果：一方获得而另一方不接受的胜—负结果；成人安排后暂时停止；幼儿在教师支架下形成轮流、交换或共同游戏；幼儿自主形成建设性方案；未解决或升级。</w:t>
      </w:r>
    </w:p>
    <w:p>
      <w:pPr>
        <w:pStyle w:val="BodyText"/>
        <w:bidi w:val="0"/>
        <w:rPr/>
      </w:pPr>
      <w:r>
        <w:rPr/>
        <w:t>第五，后续状态：双方继续共同或邻近游戏；一方离开但情绪稳定；一方持续哭闹；再次发生同目标争抢。</w:t>
      </w:r>
    </w:p>
    <w:p>
      <w:pPr>
        <w:pStyle w:val="BodyText"/>
        <w:bidi w:val="0"/>
        <w:rPr/>
      </w:pPr>
      <w:r>
        <w:rPr/>
        <w:t>编码时遵守以下规则：同一目标在</w:t>
      </w:r>
      <w:r>
        <w:rPr/>
        <w:t>10</w:t>
      </w:r>
      <w:r>
        <w:rPr/>
        <w:t>秒内再次对抗，视为同一事件；超过</w:t>
      </w:r>
      <w:r>
        <w:rPr/>
        <w:t>10</w:t>
      </w:r>
      <w:r>
        <w:rPr/>
        <w:t>秒后重新发生则记为新事件；教师抱开幼儿只在出现伤害风险时编码为“安全制止”，在无明显风险时归入“直接裁决”；教师先制止危险、随后倾听和协商时，以完成后的主要教育过程编码为“调解与共同解决”，并在备注中记录安全动作。</w:t>
      </w:r>
    </w:p>
    <w:p>
      <w:pPr>
        <w:pStyle w:val="Heading2"/>
        <w:bidi w:val="0"/>
        <w:rPr/>
      </w:pPr>
      <w:r>
        <w:rPr/>
        <w:t xml:space="preserve">2.5 </w:t>
      </w:r>
      <w:r>
        <w:rPr/>
        <w:t>教育支持方案</w:t>
      </w:r>
    </w:p>
    <w:p>
      <w:pPr>
        <w:pStyle w:val="BodyText"/>
        <w:bidi w:val="0"/>
        <w:rPr/>
      </w:pPr>
      <w:r>
        <w:rPr/>
        <w:t>支持方案包含五个相互联系的部分。</w:t>
      </w:r>
    </w:p>
    <w:p>
      <w:pPr>
        <w:pStyle w:val="BodyText"/>
        <w:bidi w:val="0"/>
        <w:rPr/>
      </w:pPr>
      <w:r>
        <w:rPr/>
        <w:t>一是环境预防。根据基线期高频目标增加同类材料，避免所有热门材料只有一个；对无法复制的大型材料设置等待位置和顺序标记；重新划分容易拥挤的建构区和娃娃家入口；在转换前预告下一环节，减少幼儿同时涌向同一处。</w:t>
      </w:r>
    </w:p>
    <w:p>
      <w:pPr>
        <w:pStyle w:val="BodyText"/>
        <w:bidi w:val="0"/>
        <w:rPr/>
      </w:pPr>
      <w:r>
        <w:rPr/>
        <w:t>二是情绪回应。教师用短句描述事实和感受，如“你还想玩，小宇也想拿”“车被拿走，你很着急”，先帮助幼儿稳定，再讨论办法。回应感受不等于同意拉抢。</w:t>
      </w:r>
    </w:p>
    <w:p>
      <w:pPr>
        <w:pStyle w:val="BodyText"/>
        <w:bidi w:val="0"/>
        <w:rPr/>
      </w:pPr>
      <w:r>
        <w:rPr/>
        <w:t>三是语言支架。建立“停—说—听—想—试”五步流程：先停止拉扯；双方用动作或短句说需要；教师帮助听见对方；提出轮流、交换、一起玩、找同类材料等方案；选择一个尝试并跟进。对语言较弱的幼儿提供手势、图片或两项选择。</w:t>
      </w:r>
    </w:p>
    <w:p>
      <w:pPr>
        <w:pStyle w:val="BodyText"/>
        <w:bidi w:val="0"/>
        <w:rPr/>
      </w:pPr>
      <w:r>
        <w:rPr/>
        <w:t>四是日常练习。通过玩偶故事、两人滚接球、共同搬运、轮流敲鼓等短时活动练习“轮到我</w:t>
      </w:r>
      <w:r>
        <w:rPr/>
        <w:t>/</w:t>
      </w:r>
      <w:r>
        <w:rPr/>
        <w:t>轮到你”“我还要玩”“可以一起吗”“等沙漏结束”等表达。练习嵌入一日生活，不把托班社会性发展变成抽象说教。</w:t>
      </w:r>
    </w:p>
    <w:p>
      <w:pPr>
        <w:pStyle w:val="BodyText"/>
        <w:bidi w:val="0"/>
        <w:rPr/>
      </w:pPr>
      <w:r>
        <w:rPr/>
        <w:t>五是家园协同。向家长说明争抢的年龄特点和班级用语，建议家庭提供真实轮流经验，不强迫幼儿立即让出正在使用的物品，也不把“从不吃亏”作为同伴交往目标。</w:t>
      </w:r>
    </w:p>
    <w:p>
      <w:pPr>
        <w:pStyle w:val="Heading2"/>
        <w:bidi w:val="0"/>
        <w:rPr/>
      </w:pPr>
      <w:r>
        <w:rPr/>
        <w:t xml:space="preserve">2.6 </w:t>
      </w:r>
      <w:r>
        <w:rPr/>
        <w:t>资料整理、研究伦理与质量控制</w:t>
      </w:r>
    </w:p>
    <w:p>
      <w:pPr>
        <w:pStyle w:val="BodyText"/>
        <w:bidi w:val="0"/>
        <w:rPr/>
      </w:pPr>
      <w:r>
        <w:rPr/>
        <w:t>定量资料使用频数、百分比和单位时间发生率进行描述。不同阶段观察时长不完全相同时，以“事件数</w:t>
      </w:r>
      <w:r>
        <w:rPr/>
        <w:t>/</w:t>
      </w:r>
      <w:r>
        <w:rPr/>
        <w:t>观察小时”比较；幼儿解决方式和教师策略使用构成比比较。研究规模较小，主要呈现描述性变化，不用统计显著性替代教育解释。质性资料按“诱因—互动过程—教师支持—结果—后续状态”整理典型事件，并与教师访谈相互印证。</w:t>
      </w:r>
    </w:p>
    <w:p>
      <w:pPr>
        <w:pStyle w:val="BodyText"/>
        <w:bidi w:val="0"/>
        <w:rPr/>
      </w:pPr>
      <w:r>
        <w:rPr/>
        <w:t>【示范写法，须根据真实复核填写】研究随机抽取</w:t>
      </w:r>
      <w:r>
        <w:rPr/>
        <w:t>20%</w:t>
      </w:r>
      <w:r>
        <w:rPr/>
        <w:t>的事件由第二名受训观察者独立编码，争抢目标、教师主导策略和解决结果的</w:t>
      </w:r>
      <w:r>
        <w:rPr/>
        <w:t>Cohen's κ</w:t>
      </w:r>
      <w:r>
        <w:rPr/>
        <w:t>分别为</w:t>
      </w:r>
      <w:r>
        <w:rPr/>
        <w:t>0.88</w:t>
      </w:r>
      <w:r>
        <w:rPr/>
        <w:t>、</w:t>
      </w:r>
      <w:r>
        <w:rPr/>
        <w:t>0.82</w:t>
      </w:r>
      <w:r>
        <w:rPr/>
        <w:t>和</w:t>
      </w:r>
      <w:r>
        <w:rPr/>
        <w:t>0.85</w:t>
      </w:r>
      <w:r>
        <w:rPr/>
        <w:t>；分歧通过回看原始记录并依据编码手册协商解决。如果作者无法安排第二观察者，应如实说明，并通过延迟复编码、教师成员核对和保留原始记录增强可信度，不得虚构一致性系数。</w:t>
      </w:r>
    </w:p>
    <w:p>
      <w:pPr>
        <w:pStyle w:val="BodyText"/>
        <w:bidi w:val="0"/>
        <w:rPr/>
      </w:pPr>
      <w:r>
        <w:rPr/>
        <w:t>研究涉及低龄儿童，必须坚持最小风险原则。研究开始前取得园方许可和监护人知情同意；监护人可以拒绝或中途退出，不影响幼儿正常保教；报告不出现真实姓名、清晰面部影像和可识别家庭信息；观察不故意制造玩具短缺或诱发争抢；发生推、打、咬、窒息、跌倒等风险时，教师立即保护幼儿，研究记录不得妨碍照护。原始资料按约定期限加密保存，到期删除。</w:t>
      </w:r>
    </w:p>
    <w:p>
      <w:pPr>
        <w:pStyle w:val="Heading1"/>
        <w:bidi w:val="0"/>
        <w:rPr/>
      </w:pPr>
      <w:r>
        <w:rPr/>
        <w:t xml:space="preserve">3 </w:t>
      </w:r>
      <w:r>
        <w:rPr/>
        <w:t>托班幼儿争抢行为的现状与问题分析</w:t>
      </w:r>
    </w:p>
    <w:p>
      <w:pPr>
        <w:pStyle w:val="BlockQuotation"/>
        <w:bidi w:val="0"/>
        <w:rPr/>
      </w:pPr>
      <w:r>
        <w:rPr>
          <w:rStyle w:val="Strong"/>
        </w:rPr>
        <w:t>本章所有数字、表格和案例均为示范数据，用于展示分析方法，必须由真实观察结果替换。</w:t>
      </w:r>
    </w:p>
    <w:p>
      <w:pPr>
        <w:pStyle w:val="Heading2"/>
        <w:bidi w:val="0"/>
        <w:rPr/>
      </w:pPr>
      <w:r>
        <w:rPr/>
        <w:t xml:space="preserve">3.1 </w:t>
      </w:r>
      <w:r>
        <w:rPr/>
        <w:t>争抢行为的发生频率与活动情境</w:t>
      </w:r>
    </w:p>
    <w:p>
      <w:pPr>
        <w:pStyle w:val="BodyText"/>
        <w:bidi w:val="0"/>
        <w:rPr/>
      </w:pPr>
      <w:r>
        <w:rPr/>
        <w:t>基线期</w:t>
      </w:r>
      <w:r>
        <w:rPr/>
        <w:t>15</w:t>
      </w:r>
      <w:r>
        <w:rPr/>
        <w:t>小时等时观察共记录争抢事件</w:t>
      </w:r>
      <w:r>
        <w:rPr/>
        <w:t>75</w:t>
      </w:r>
      <w:r>
        <w:rPr/>
        <w:t>起，平均每小时</w:t>
      </w:r>
      <w:r>
        <w:rPr/>
        <w:t>5.00</w:t>
      </w:r>
      <w:r>
        <w:rPr/>
        <w:t>起。不同活动情境分布见表</w:t>
      </w:r>
      <w:r>
        <w:rPr/>
        <w:t>1</w:t>
      </w:r>
      <w:r>
        <w:rPr/>
        <w:t>。</w:t>
      </w:r>
    </w:p>
    <w:p>
      <w:pPr>
        <w:pStyle w:val="BodyText"/>
        <w:bidi w:val="0"/>
        <w:rPr/>
      </w:pPr>
      <w:r>
        <w:rPr>
          <w:rStyle w:val="Strong"/>
        </w:rPr>
        <w:t>表</w:t>
      </w:r>
      <w:r>
        <w:rPr>
          <w:rStyle w:val="Strong"/>
        </w:rPr>
        <w:t xml:space="preserve">1 </w:t>
      </w:r>
      <w:r>
        <w:rPr>
          <w:rStyle w:val="Strong"/>
        </w:rPr>
        <w:t>基线期争抢事件的活动情境分布（示范数据）</w:t>
      </w:r>
    </w:p>
    <w:tbl>
      <w:tblPr>
        <w:tblW w:w="5000" w:type="pct"/>
        <w:jc w:val="start"/>
        <w:tblInd w:w="-7" w:type="dxa"/>
        <w:tblLayout w:type="fixed"/>
        <w:tblCellMar>
          <w:top w:w="75" w:type="dxa"/>
          <w:start w:w="75" w:type="dxa"/>
          <w:bottom w:w="75" w:type="dxa"/>
          <w:end w:w="75" w:type="dxa"/>
        </w:tblCellMar>
      </w:tblPr>
      <w:tblGrid>
        <w:gridCol w:w="2076"/>
        <w:gridCol w:w="806"/>
        <w:gridCol w:w="957"/>
      </w:tblGrid>
      <w:tr>
        <w:trPr>
          <w:tblHeader w:val="true"/>
        </w:trPr>
        <w:tc>
          <w:tcPr>
            <w:tcW w:w="2076"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活动情境</w:t>
            </w:r>
          </w:p>
        </w:tc>
        <w:tc>
          <w:tcPr>
            <w:tcW w:w="806"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事件数</w:t>
            </w:r>
          </w:p>
        </w:tc>
        <w:tc>
          <w:tcPr>
            <w:tcW w:w="957"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百分比</w:t>
            </w:r>
          </w:p>
        </w:tc>
      </w:tr>
      <w:tr>
        <w:trPr/>
        <w:tc>
          <w:tcPr>
            <w:tcW w:w="207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室内自由游戏</w:t>
            </w:r>
          </w:p>
        </w:tc>
        <w:tc>
          <w:tcPr>
            <w:tcW w:w="806"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43</w:t>
            </w:r>
          </w:p>
        </w:tc>
        <w:tc>
          <w:tcPr>
            <w:tcW w:w="957"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57.3%</w:t>
            </w:r>
          </w:p>
        </w:tc>
      </w:tr>
      <w:tr>
        <w:trPr/>
        <w:tc>
          <w:tcPr>
            <w:tcW w:w="207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过渡环节</w:t>
            </w:r>
          </w:p>
        </w:tc>
        <w:tc>
          <w:tcPr>
            <w:tcW w:w="806"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14</w:t>
            </w:r>
          </w:p>
        </w:tc>
        <w:tc>
          <w:tcPr>
            <w:tcW w:w="957"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18.7%</w:t>
            </w:r>
          </w:p>
        </w:tc>
      </w:tr>
      <w:tr>
        <w:trPr/>
        <w:tc>
          <w:tcPr>
            <w:tcW w:w="207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户外活动</w:t>
            </w:r>
          </w:p>
        </w:tc>
        <w:tc>
          <w:tcPr>
            <w:tcW w:w="806"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9</w:t>
            </w:r>
          </w:p>
        </w:tc>
        <w:tc>
          <w:tcPr>
            <w:tcW w:w="957"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12.0%</w:t>
            </w:r>
          </w:p>
        </w:tc>
      </w:tr>
      <w:tr>
        <w:trPr/>
        <w:tc>
          <w:tcPr>
            <w:tcW w:w="207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盥洗、进餐等生活环节</w:t>
            </w:r>
          </w:p>
        </w:tc>
        <w:tc>
          <w:tcPr>
            <w:tcW w:w="806"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5</w:t>
            </w:r>
          </w:p>
        </w:tc>
        <w:tc>
          <w:tcPr>
            <w:tcW w:w="957"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6.7%</w:t>
            </w:r>
          </w:p>
        </w:tc>
      </w:tr>
      <w:tr>
        <w:trPr/>
        <w:tc>
          <w:tcPr>
            <w:tcW w:w="207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集体活动</w:t>
            </w:r>
          </w:p>
        </w:tc>
        <w:tc>
          <w:tcPr>
            <w:tcW w:w="806"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4</w:t>
            </w:r>
          </w:p>
        </w:tc>
        <w:tc>
          <w:tcPr>
            <w:tcW w:w="957"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5.3%</w:t>
            </w:r>
          </w:p>
        </w:tc>
      </w:tr>
      <w:tr>
        <w:trPr/>
        <w:tc>
          <w:tcPr>
            <w:tcW w:w="2076"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合计</w:t>
            </w:r>
          </w:p>
        </w:tc>
        <w:tc>
          <w:tcPr>
            <w:tcW w:w="806"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75</w:t>
            </w:r>
          </w:p>
        </w:tc>
        <w:tc>
          <w:tcPr>
            <w:tcW w:w="957"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100.0%</w:t>
            </w:r>
          </w:p>
        </w:tc>
      </w:tr>
    </w:tbl>
    <w:p>
      <w:pPr>
        <w:pStyle w:val="BodyText"/>
        <w:bidi w:val="0"/>
        <w:rPr/>
      </w:pPr>
      <w:r>
        <w:rPr/>
        <w:t>自由游戏是争抢最集中的情境。这不是因为自由游戏本身“容易失控”，而是幼儿在此时拥有更多选择权，热门材料的吸引力与同伴加入需要同时出现。</w:t>
      </w:r>
      <w:r>
        <w:rPr/>
        <w:t>43</w:t>
      </w:r>
      <w:r>
        <w:rPr/>
        <w:t>起自由游戏争抢中，建构区、车辆区和娃娃家共占多数。教师在自由游戏中还需照顾如厕、整理和个别幼儿，无法持续关注每一处互动，争抢常在教师赶到前已经发生数轮拉扯。</w:t>
      </w:r>
    </w:p>
    <w:p>
      <w:pPr>
        <w:pStyle w:val="BodyText"/>
        <w:bidi w:val="0"/>
        <w:rPr/>
      </w:pPr>
      <w:r>
        <w:rPr/>
        <w:t>过渡环节位居第二。收玩具、准备户外、排队洗手时，幼儿对“还没玩完”的物品保持控制需要，同时又要响应集体指令，容易出现抢篮筐、抢排位或抢教师牵手位置的行为。这说明争抢并非完全源于幼儿个体特征，流程是否有预告、等待是否过长、空间动线是否拥挤，同样会影响事件发生。</w:t>
      </w:r>
    </w:p>
    <w:p>
      <w:pPr>
        <w:pStyle w:val="Heading2"/>
        <w:bidi w:val="0"/>
        <w:rPr/>
      </w:pPr>
      <w:r>
        <w:rPr/>
        <w:t xml:space="preserve">3.2 </w:t>
      </w:r>
      <w:r>
        <w:rPr/>
        <w:t>争抢行为的主要诱因</w:t>
      </w:r>
    </w:p>
    <w:p>
      <w:pPr>
        <w:pStyle w:val="BodyText"/>
        <w:bidi w:val="0"/>
        <w:rPr/>
      </w:pPr>
      <w:r>
        <w:rPr/>
        <w:t>对</w:t>
      </w:r>
      <w:r>
        <w:rPr/>
        <w:t>75</w:t>
      </w:r>
      <w:r>
        <w:rPr/>
        <w:t>起事件的首要诱因进行编码，结果见表</w:t>
      </w:r>
      <w:r>
        <w:rPr/>
        <w:t>2</w:t>
      </w:r>
      <w:r>
        <w:rPr/>
        <w:t>。</w:t>
      </w:r>
    </w:p>
    <w:p>
      <w:pPr>
        <w:pStyle w:val="BodyText"/>
        <w:bidi w:val="0"/>
        <w:rPr/>
      </w:pPr>
      <w:r>
        <w:rPr>
          <w:rStyle w:val="Strong"/>
        </w:rPr>
        <w:t>表</w:t>
      </w:r>
      <w:r>
        <w:rPr>
          <w:rStyle w:val="Strong"/>
        </w:rPr>
        <w:t xml:space="preserve">2 </w:t>
      </w:r>
      <w:r>
        <w:rPr>
          <w:rStyle w:val="Strong"/>
        </w:rPr>
        <w:t>基线期争抢事件的首要诱因（示范数据）</w:t>
      </w:r>
    </w:p>
    <w:tbl>
      <w:tblPr>
        <w:tblW w:w="5000" w:type="pct"/>
        <w:jc w:val="start"/>
        <w:tblInd w:w="-7" w:type="dxa"/>
        <w:tblLayout w:type="fixed"/>
        <w:tblCellMar>
          <w:top w:w="75" w:type="dxa"/>
          <w:start w:w="75" w:type="dxa"/>
          <w:bottom w:w="75" w:type="dxa"/>
          <w:end w:w="75" w:type="dxa"/>
        </w:tblCellMar>
      </w:tblPr>
      <w:tblGrid>
        <w:gridCol w:w="2105"/>
        <w:gridCol w:w="784"/>
        <w:gridCol w:w="950"/>
      </w:tblGrid>
      <w:tr>
        <w:trPr>
          <w:tblHeader w:val="true"/>
        </w:trPr>
        <w:tc>
          <w:tcPr>
            <w:tcW w:w="2105"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首要诱因</w:t>
            </w:r>
          </w:p>
        </w:tc>
        <w:tc>
          <w:tcPr>
            <w:tcW w:w="784"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事件数</w:t>
            </w:r>
          </w:p>
        </w:tc>
        <w:tc>
          <w:tcPr>
            <w:tcW w:w="950"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百分比</w:t>
            </w:r>
          </w:p>
        </w:tc>
      </w:tr>
      <w:tr>
        <w:trPr/>
        <w:tc>
          <w:tcPr>
            <w:tcW w:w="21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稀缺或高吸引力玩具、材料</w:t>
            </w:r>
          </w:p>
        </w:tc>
        <w:tc>
          <w:tcPr>
            <w:tcW w:w="78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44</w:t>
            </w:r>
          </w:p>
        </w:tc>
        <w:tc>
          <w:tcPr>
            <w:tcW w:w="950"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58.7%</w:t>
            </w:r>
          </w:p>
        </w:tc>
      </w:tr>
      <w:tr>
        <w:trPr/>
        <w:tc>
          <w:tcPr>
            <w:tcW w:w="21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空间或座位占用</w:t>
            </w:r>
          </w:p>
        </w:tc>
        <w:tc>
          <w:tcPr>
            <w:tcW w:w="78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10</w:t>
            </w:r>
          </w:p>
        </w:tc>
        <w:tc>
          <w:tcPr>
            <w:tcW w:w="950"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13.3%</w:t>
            </w:r>
          </w:p>
        </w:tc>
      </w:tr>
      <w:tr>
        <w:trPr/>
        <w:tc>
          <w:tcPr>
            <w:tcW w:w="21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活动次序或轮次</w:t>
            </w:r>
          </w:p>
        </w:tc>
        <w:tc>
          <w:tcPr>
            <w:tcW w:w="78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9</w:t>
            </w:r>
          </w:p>
        </w:tc>
        <w:tc>
          <w:tcPr>
            <w:tcW w:w="950"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12.0%</w:t>
            </w:r>
          </w:p>
        </w:tc>
      </w:tr>
      <w:tr>
        <w:trPr/>
        <w:tc>
          <w:tcPr>
            <w:tcW w:w="21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教师关注</w:t>
            </w:r>
          </w:p>
        </w:tc>
        <w:tc>
          <w:tcPr>
            <w:tcW w:w="78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5</w:t>
            </w:r>
          </w:p>
        </w:tc>
        <w:tc>
          <w:tcPr>
            <w:tcW w:w="950"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6.7%</w:t>
            </w:r>
          </w:p>
        </w:tc>
      </w:tr>
      <w:tr>
        <w:trPr/>
        <w:tc>
          <w:tcPr>
            <w:tcW w:w="21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游戏角色或规则</w:t>
            </w:r>
          </w:p>
        </w:tc>
        <w:tc>
          <w:tcPr>
            <w:tcW w:w="78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4</w:t>
            </w:r>
          </w:p>
        </w:tc>
        <w:tc>
          <w:tcPr>
            <w:tcW w:w="950"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5.3%</w:t>
            </w:r>
          </w:p>
        </w:tc>
      </w:tr>
      <w:tr>
        <w:trPr/>
        <w:tc>
          <w:tcPr>
            <w:tcW w:w="21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其他</w:t>
            </w:r>
          </w:p>
        </w:tc>
        <w:tc>
          <w:tcPr>
            <w:tcW w:w="78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3</w:t>
            </w:r>
          </w:p>
        </w:tc>
        <w:tc>
          <w:tcPr>
            <w:tcW w:w="950"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4.0%</w:t>
            </w:r>
          </w:p>
        </w:tc>
      </w:tr>
      <w:tr>
        <w:trPr/>
        <w:tc>
          <w:tcPr>
            <w:tcW w:w="2105"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合计</w:t>
            </w:r>
          </w:p>
        </w:tc>
        <w:tc>
          <w:tcPr>
            <w:tcW w:w="784"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75</w:t>
            </w:r>
          </w:p>
        </w:tc>
        <w:tc>
          <w:tcPr>
            <w:tcW w:w="950"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100.0%</w:t>
            </w:r>
          </w:p>
        </w:tc>
      </w:tr>
    </w:tbl>
    <w:p>
      <w:pPr>
        <w:pStyle w:val="BodyText"/>
        <w:bidi w:val="0"/>
        <w:rPr/>
      </w:pPr>
      <w:r>
        <w:rPr/>
        <w:t>稀缺或高吸引力材料引起的事件最多，与低龄幼儿冲突研究中“物品占有是主要来源”的发现基本一致</w:t>
      </w:r>
      <w:r>
        <w:rPr/>
        <w:t>[5-7]</w:t>
      </w:r>
      <w:r>
        <w:rPr/>
        <w:t>。需要强调的是，“材料数量足够”不能只按幼儿总数判断。例如班级有多辆小车，但只有一辆带声光功能的消防车；在幼儿眼中，这些小车并非可完全替代。同样，成人认为相同的两个玩偶，也可能因颜色、配件或先前游戏情节而具有不同意义。</w:t>
      </w:r>
    </w:p>
    <w:p>
      <w:pPr>
        <w:pStyle w:val="BodyText"/>
        <w:bidi w:val="0"/>
        <w:rPr/>
      </w:pPr>
      <w:r>
        <w:rPr/>
        <w:t>空间冲突主要出现在狭窄区域。幼儿不是一定要占有某件物品，而是希望靠近正在发生的有趣活动。当建构区边界过窄、娃娃家入口只有一处时，新加入者会推开同伴或跨过作品，原有游戏者则以阻挡和护物回应。轮次冲突则说明幼儿已经注意到“轮流”，却难以理解抽象的“等一下”究竟要等多久。</w:t>
      </w:r>
    </w:p>
    <w:p>
      <w:pPr>
        <w:pStyle w:val="BodyText"/>
        <w:bidi w:val="0"/>
        <w:rPr/>
      </w:pPr>
      <w:r>
        <w:rPr/>
        <w:t>教师关注引发的争抢数量较少，但情绪强度较高。早晨入园、午睡起床或幼儿受挫时，多个幼儿可能同时要求抱、牵手或展示物品。若教师只回应哭声最大的幼儿，其他幼儿可能通过推开同伴、拉教师衣服来提高自己的可见度。</w:t>
      </w:r>
    </w:p>
    <w:p>
      <w:pPr>
        <w:pStyle w:val="Heading2"/>
        <w:bidi w:val="0"/>
        <w:rPr/>
      </w:pPr>
      <w:r>
        <w:rPr/>
        <w:t xml:space="preserve">3.3 </w:t>
      </w:r>
      <w:r>
        <w:rPr/>
        <w:t>幼儿的行为表现与解决方式</w:t>
      </w:r>
    </w:p>
    <w:p>
      <w:pPr>
        <w:pStyle w:val="BodyText"/>
        <w:bidi w:val="0"/>
        <w:rPr/>
      </w:pPr>
      <w:r>
        <w:rPr/>
        <w:t>基线期以幼儿在争抢后的首个主要反应编码，结果见表</w:t>
      </w:r>
      <w:r>
        <w:rPr/>
        <w:t>3</w:t>
      </w:r>
      <w:r>
        <w:rPr/>
        <w:t>。</w:t>
      </w:r>
    </w:p>
    <w:p>
      <w:pPr>
        <w:pStyle w:val="BodyText"/>
        <w:bidi w:val="0"/>
        <w:rPr/>
      </w:pPr>
      <w:r>
        <w:rPr>
          <w:rStyle w:val="Strong"/>
        </w:rPr>
        <w:t>表</w:t>
      </w:r>
      <w:r>
        <w:rPr>
          <w:rStyle w:val="Strong"/>
        </w:rPr>
        <w:t xml:space="preserve">3 </w:t>
      </w:r>
      <w:r>
        <w:rPr>
          <w:rStyle w:val="Strong"/>
        </w:rPr>
        <w:t>幼儿首个主要反应的分布（示范数据）</w:t>
      </w:r>
    </w:p>
    <w:tbl>
      <w:tblPr>
        <w:tblW w:w="5000" w:type="pct"/>
        <w:jc w:val="start"/>
        <w:tblInd w:w="-7" w:type="dxa"/>
        <w:tblLayout w:type="fixed"/>
        <w:tblCellMar>
          <w:top w:w="75" w:type="dxa"/>
          <w:start w:w="75" w:type="dxa"/>
          <w:bottom w:w="75" w:type="dxa"/>
          <w:end w:w="75" w:type="dxa"/>
        </w:tblCellMar>
      </w:tblPr>
      <w:tblGrid>
        <w:gridCol w:w="1409"/>
        <w:gridCol w:w="725"/>
        <w:gridCol w:w="1705"/>
      </w:tblGrid>
      <w:tr>
        <w:trPr>
          <w:tblHeader w:val="true"/>
        </w:trPr>
        <w:tc>
          <w:tcPr>
            <w:tcW w:w="1409"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首个主要反应</w:t>
            </w:r>
          </w:p>
        </w:tc>
        <w:tc>
          <w:tcPr>
            <w:tcW w:w="725"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事件数</w:t>
            </w:r>
          </w:p>
        </w:tc>
        <w:tc>
          <w:tcPr>
            <w:tcW w:w="1705"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百分比</w:t>
            </w:r>
          </w:p>
        </w:tc>
      </w:tr>
      <w:tr>
        <w:trPr/>
        <w:tc>
          <w:tcPr>
            <w:tcW w:w="1409"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直接拿取、拉扯或护物</w:t>
            </w:r>
          </w:p>
        </w:tc>
        <w:tc>
          <w:tcPr>
            <w:tcW w:w="725"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29</w:t>
            </w:r>
          </w:p>
        </w:tc>
        <w:tc>
          <w:tcPr>
            <w:tcW w:w="170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38.7%</w:t>
            </w:r>
          </w:p>
        </w:tc>
      </w:tr>
      <w:tr>
        <w:trPr/>
        <w:tc>
          <w:tcPr>
            <w:tcW w:w="1409"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哭喊、尖叫</w:t>
            </w:r>
          </w:p>
        </w:tc>
        <w:tc>
          <w:tcPr>
            <w:tcW w:w="725"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16</w:t>
            </w:r>
          </w:p>
        </w:tc>
        <w:tc>
          <w:tcPr>
            <w:tcW w:w="170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21.3%</w:t>
            </w:r>
          </w:p>
        </w:tc>
      </w:tr>
      <w:tr>
        <w:trPr/>
        <w:tc>
          <w:tcPr>
            <w:tcW w:w="1409"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口头请求或拒绝</w:t>
            </w:r>
          </w:p>
        </w:tc>
        <w:tc>
          <w:tcPr>
            <w:tcW w:w="725"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14</w:t>
            </w:r>
          </w:p>
        </w:tc>
        <w:tc>
          <w:tcPr>
            <w:tcW w:w="170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18.7%</w:t>
            </w:r>
          </w:p>
        </w:tc>
      </w:tr>
      <w:tr>
        <w:trPr/>
        <w:tc>
          <w:tcPr>
            <w:tcW w:w="1409"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求助教师</w:t>
            </w:r>
          </w:p>
        </w:tc>
        <w:tc>
          <w:tcPr>
            <w:tcW w:w="725"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8</w:t>
            </w:r>
          </w:p>
        </w:tc>
        <w:tc>
          <w:tcPr>
            <w:tcW w:w="170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10.7%</w:t>
            </w:r>
          </w:p>
        </w:tc>
      </w:tr>
      <w:tr>
        <w:trPr/>
        <w:tc>
          <w:tcPr>
            <w:tcW w:w="1409"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让步或离开</w:t>
            </w:r>
          </w:p>
        </w:tc>
        <w:tc>
          <w:tcPr>
            <w:tcW w:w="725"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6</w:t>
            </w:r>
          </w:p>
        </w:tc>
        <w:tc>
          <w:tcPr>
            <w:tcW w:w="170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8.0%</w:t>
            </w:r>
          </w:p>
        </w:tc>
      </w:tr>
      <w:tr>
        <w:trPr/>
        <w:tc>
          <w:tcPr>
            <w:tcW w:w="1409"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主动协商、轮流或邀请共玩</w:t>
            </w:r>
          </w:p>
        </w:tc>
        <w:tc>
          <w:tcPr>
            <w:tcW w:w="725"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2</w:t>
            </w:r>
          </w:p>
        </w:tc>
        <w:tc>
          <w:tcPr>
            <w:tcW w:w="170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2.7%</w:t>
            </w:r>
          </w:p>
        </w:tc>
      </w:tr>
      <w:tr>
        <w:trPr/>
        <w:tc>
          <w:tcPr>
            <w:tcW w:w="1409"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合计</w:t>
            </w:r>
          </w:p>
        </w:tc>
        <w:tc>
          <w:tcPr>
            <w:tcW w:w="725"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75</w:t>
            </w:r>
          </w:p>
        </w:tc>
        <w:tc>
          <w:tcPr>
            <w:tcW w:w="1705"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100.1%</w:t>
            </w:r>
            <w:r>
              <w:rPr/>
              <w:t>（四舍五入）</w:t>
            </w:r>
          </w:p>
        </w:tc>
      </w:tr>
    </w:tbl>
    <w:p>
      <w:pPr>
        <w:pStyle w:val="BodyText"/>
        <w:bidi w:val="0"/>
        <w:rPr/>
      </w:pPr>
      <w:r>
        <w:rPr/>
        <w:t>直接动作是最常见反应，反映托班幼儿的行动先于语言。即使部分幼儿会说“我的”，也常把这两个字与拉回物品同时使用。“我的”未必表示幼儿理解法律或稳定所有权，而更可能表达“我正在用”“我想继续”或“我现在很需要”。教师若只纠正“这不是你的”，容易错过其真实意图。</w:t>
      </w:r>
    </w:p>
    <w:p>
      <w:pPr>
        <w:pStyle w:val="BodyText"/>
        <w:bidi w:val="0"/>
        <w:rPr/>
      </w:pPr>
      <w:r>
        <w:rPr/>
        <w:t>哭喊是第二常见反应。哭并非必然是操控成人，它可能是语言资源不足、目标受阻和情绪唤醒共同作用的结果。教师需要承认感受，同时避免把物品立即交给哭喊者。口头请求或拒绝虽不足两成，却构成重要的发展起点。幼儿说“不要”“我玩”“给我”时，表达可能不够礼貌或完整，但教师可在此基础上扩展为“我还没玩完”“你可以等我吗”。</w:t>
      </w:r>
    </w:p>
    <w:p>
      <w:pPr>
        <w:pStyle w:val="BodyText"/>
        <w:bidi w:val="0"/>
        <w:rPr/>
      </w:pPr>
      <w:r>
        <w:rPr/>
        <w:t>主动协商比例最低，符合该年龄阶段能力仍需支架的特点。若以成人标准要求幼儿自行提出公平方案，既不现实，也可能使语言较强的幼儿长期占优。因此，研究的目标不是要求每名幼儿立即独立协商，而是让幼儿从动作争夺逐渐过渡到在教师帮助下表达与选择方案。</w:t>
      </w:r>
    </w:p>
    <w:p>
      <w:pPr>
        <w:pStyle w:val="Heading2"/>
        <w:bidi w:val="0"/>
        <w:rPr/>
      </w:pPr>
      <w:r>
        <w:rPr/>
        <w:t xml:space="preserve">3.4 </w:t>
      </w:r>
      <w:r>
        <w:rPr/>
        <w:t>教师介入方式及其特点</w:t>
      </w:r>
    </w:p>
    <w:p>
      <w:pPr>
        <w:pStyle w:val="BodyText"/>
        <w:bidi w:val="0"/>
        <w:rPr/>
      </w:pPr>
      <w:r>
        <w:rPr/>
        <w:t>基线期</w:t>
      </w:r>
      <w:r>
        <w:rPr/>
        <w:t>75</w:t>
      </w:r>
      <w:r>
        <w:rPr/>
        <w:t>起事件中，教师介入</w:t>
      </w:r>
      <w:r>
        <w:rPr/>
        <w:t>61</w:t>
      </w:r>
      <w:r>
        <w:rPr/>
        <w:t>起，占</w:t>
      </w:r>
      <w:r>
        <w:rPr/>
        <w:t>81.3%</w:t>
      </w:r>
      <w:r>
        <w:rPr/>
        <w:t>；其余</w:t>
      </w:r>
      <w:r>
        <w:rPr/>
        <w:t>14</w:t>
      </w:r>
      <w:r>
        <w:rPr/>
        <w:t>起在教师介入前结束或教师选择短暂观察。</w:t>
      </w:r>
      <w:r>
        <w:rPr/>
        <w:t>61</w:t>
      </w:r>
      <w:r>
        <w:rPr/>
        <w:t>起介入事件的主导策略见表</w:t>
      </w:r>
      <w:r>
        <w:rPr/>
        <w:t>4</w:t>
      </w:r>
      <w:r>
        <w:rPr/>
        <w:t>。</w:t>
      </w:r>
    </w:p>
    <w:p>
      <w:pPr>
        <w:pStyle w:val="BodyText"/>
        <w:bidi w:val="0"/>
        <w:rPr/>
      </w:pPr>
      <w:r>
        <w:rPr>
          <w:rStyle w:val="Strong"/>
        </w:rPr>
        <w:t>表</w:t>
      </w:r>
      <w:r>
        <w:rPr>
          <w:rStyle w:val="Strong"/>
        </w:rPr>
        <w:t xml:space="preserve">4 </w:t>
      </w:r>
      <w:r>
        <w:rPr>
          <w:rStyle w:val="Strong"/>
        </w:rPr>
        <w:t>基线期教师主导介入策略（示范数据）</w:t>
      </w:r>
    </w:p>
    <w:tbl>
      <w:tblPr>
        <w:tblW w:w="5000" w:type="pct"/>
        <w:jc w:val="start"/>
        <w:tblInd w:w="-7" w:type="dxa"/>
        <w:tblLayout w:type="fixed"/>
        <w:tblCellMar>
          <w:top w:w="75" w:type="dxa"/>
          <w:start w:w="75" w:type="dxa"/>
          <w:bottom w:w="75" w:type="dxa"/>
          <w:end w:w="75" w:type="dxa"/>
        </w:tblCellMar>
      </w:tblPr>
      <w:tblGrid>
        <w:gridCol w:w="1416"/>
        <w:gridCol w:w="724"/>
        <w:gridCol w:w="1699"/>
      </w:tblGrid>
      <w:tr>
        <w:trPr>
          <w:tblHeader w:val="true"/>
        </w:trPr>
        <w:tc>
          <w:tcPr>
            <w:tcW w:w="1416"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主导策略</w:t>
            </w:r>
          </w:p>
        </w:tc>
        <w:tc>
          <w:tcPr>
            <w:tcW w:w="724"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事件数</w:t>
            </w:r>
          </w:p>
        </w:tc>
        <w:tc>
          <w:tcPr>
            <w:tcW w:w="1699"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百分比</w:t>
            </w:r>
          </w:p>
        </w:tc>
      </w:tr>
      <w:tr>
        <w:trPr/>
        <w:tc>
          <w:tcPr>
            <w:tcW w:w="141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直接裁决或重新分配</w:t>
            </w:r>
          </w:p>
        </w:tc>
        <w:tc>
          <w:tcPr>
            <w:tcW w:w="72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18</w:t>
            </w:r>
          </w:p>
        </w:tc>
        <w:tc>
          <w:tcPr>
            <w:tcW w:w="1699"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29.5%</w:t>
            </w:r>
          </w:p>
        </w:tc>
      </w:tr>
      <w:tr>
        <w:trPr/>
        <w:tc>
          <w:tcPr>
            <w:tcW w:w="141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安全制止、分开双方</w:t>
            </w:r>
          </w:p>
        </w:tc>
        <w:tc>
          <w:tcPr>
            <w:tcW w:w="72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14</w:t>
            </w:r>
          </w:p>
        </w:tc>
        <w:tc>
          <w:tcPr>
            <w:tcW w:w="1699"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23.0%</w:t>
            </w:r>
          </w:p>
        </w:tc>
      </w:tr>
      <w:tr>
        <w:trPr/>
        <w:tc>
          <w:tcPr>
            <w:tcW w:w="141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转移注意、提供替代物</w:t>
            </w:r>
          </w:p>
        </w:tc>
        <w:tc>
          <w:tcPr>
            <w:tcW w:w="72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12</w:t>
            </w:r>
          </w:p>
        </w:tc>
        <w:tc>
          <w:tcPr>
            <w:tcW w:w="1699"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19.7%</w:t>
            </w:r>
          </w:p>
        </w:tc>
      </w:tr>
      <w:tr>
        <w:trPr/>
        <w:tc>
          <w:tcPr>
            <w:tcW w:w="141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规则命令或要求道歉</w:t>
            </w:r>
          </w:p>
        </w:tc>
        <w:tc>
          <w:tcPr>
            <w:tcW w:w="72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9</w:t>
            </w:r>
          </w:p>
        </w:tc>
        <w:tc>
          <w:tcPr>
            <w:tcW w:w="1699"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14.8%</w:t>
            </w:r>
          </w:p>
        </w:tc>
      </w:tr>
      <w:tr>
        <w:trPr/>
        <w:tc>
          <w:tcPr>
            <w:tcW w:w="141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调解并共同解决</w:t>
            </w:r>
          </w:p>
        </w:tc>
        <w:tc>
          <w:tcPr>
            <w:tcW w:w="72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5</w:t>
            </w:r>
          </w:p>
        </w:tc>
        <w:tc>
          <w:tcPr>
            <w:tcW w:w="1699"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8.2%</w:t>
            </w:r>
          </w:p>
        </w:tc>
      </w:tr>
      <w:tr>
        <w:trPr/>
        <w:tc>
          <w:tcPr>
            <w:tcW w:w="141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情绪回应后再处理</w:t>
            </w:r>
          </w:p>
        </w:tc>
        <w:tc>
          <w:tcPr>
            <w:tcW w:w="724"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3</w:t>
            </w:r>
          </w:p>
        </w:tc>
        <w:tc>
          <w:tcPr>
            <w:tcW w:w="1699"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4.9%</w:t>
            </w:r>
          </w:p>
        </w:tc>
      </w:tr>
      <w:tr>
        <w:trPr/>
        <w:tc>
          <w:tcPr>
            <w:tcW w:w="1416"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合计</w:t>
            </w:r>
          </w:p>
        </w:tc>
        <w:tc>
          <w:tcPr>
            <w:tcW w:w="724"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61</w:t>
            </w:r>
          </w:p>
        </w:tc>
        <w:tc>
          <w:tcPr>
            <w:tcW w:w="1699"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100.1%</w:t>
            </w:r>
            <w:r>
              <w:rPr/>
              <w:t>（四舍五入）</w:t>
            </w:r>
          </w:p>
        </w:tc>
      </w:tr>
    </w:tbl>
    <w:p>
      <w:pPr>
        <w:pStyle w:val="BodyText"/>
        <w:bidi w:val="0"/>
        <w:rPr/>
      </w:pPr>
      <w:r>
        <w:rPr/>
        <w:t>直接裁决最常见。教师常依据“谁先拿到”把玩具归还一方，或直接规定“你玩一下就给他”。这种做法边界清楚、速度快，在紧张环节有管理效率；但观察发现，教师有时未看见事件开端，裁决依据只是到场时的持物状态或哭闹强度，幼儿容易感到不被理解。即便裁决正确，如果缺少表达和跟进，幼儿学到的仍是成人结论，而不是解决过程。</w:t>
      </w:r>
    </w:p>
    <w:p>
      <w:pPr>
        <w:pStyle w:val="BodyText"/>
        <w:bidi w:val="0"/>
        <w:rPr/>
      </w:pPr>
      <w:r>
        <w:rPr/>
        <w:t>安全制止在出现推搡、抓挠或强烈拉扯时必要，但部分事件在危险解除后立即结束教育过程：教师拿走物品、分开幼儿，却未帮助其恢复情绪和关系。提供替代物能迅速转移低龄幼儿注意，在一次性、低意义的物品冲突中有积极作用；若成为固定做法，则可能回避轮流、拒绝和等待等关键经验。</w:t>
      </w:r>
    </w:p>
    <w:p>
      <w:pPr>
        <w:pStyle w:val="BodyText"/>
        <w:bidi w:val="0"/>
        <w:rPr/>
      </w:pPr>
      <w:r>
        <w:rPr/>
        <w:t>调解与情绪回应比例较低。访谈中教师并非不知道这些方法，而是认为“托班听不懂”“一说就哭”“没有时间慢慢问”。这反映出支持策略若设计成复杂说理，确实难以嵌入真实班级。托班调解应使用可见物、短句和有限选择，而不是要求幼儿陈述完整经过或接受抽象道德教育。</w:t>
      </w:r>
    </w:p>
    <w:p>
      <w:pPr>
        <w:pStyle w:val="Heading3"/>
        <w:bidi w:val="0"/>
        <w:rPr/>
      </w:pPr>
      <w:r>
        <w:rPr/>
        <w:t xml:space="preserve">3.4.1 </w:t>
      </w:r>
      <w:r>
        <w:rPr/>
        <w:t>典型事件分析</w:t>
      </w:r>
    </w:p>
    <w:p>
      <w:pPr>
        <w:pStyle w:val="BodyText"/>
        <w:bidi w:val="0"/>
        <w:rPr/>
      </w:pPr>
      <w:r>
        <w:rPr/>
        <w:t>【示范案例，须用真实观察记录替换】自由游戏时，安安正在推唯一一辆红色消防车。乐乐靠近后伸手拿车，安安抱住车说“我的”，乐乐继续拉并哭喊。教师走来后说：“安安先玩的，乐乐不能抢。”随后把一辆普通小车递给乐乐。乐乐把普通小车推开，继续指着消防车哭。教师提高音量说“再抢就都别玩”，将消防车放到高处。两名幼儿分别离开，约两分钟后乐乐又在别处拿走安安手中的动物玩偶。</w:t>
      </w:r>
    </w:p>
    <w:p>
      <w:pPr>
        <w:pStyle w:val="BodyText"/>
        <w:bidi w:val="0"/>
        <w:rPr/>
      </w:pPr>
      <w:r>
        <w:rPr/>
        <w:t>这一事件中，教师准确注意到先占有关系，也阻止了拉扯，但替代物没有回应乐乐对特定消防车的兴趣，拿走玩具则使双方都失去继续学习的机会。后续再次争抢说明表面停止不等于需要解决。若改用支架方式，教师可先稳住双方的手，说“停，手松开；安安还在玩，乐乐也想玩红车”，再提供可理解的选择：“沙漏完了轮到乐乐，还是两个人一起开消防站？”教师需要根据幼儿接受度帮助执行，而不是让其在高情绪中回答开放性问题。</w:t>
      </w:r>
    </w:p>
    <w:p>
      <w:pPr>
        <w:pStyle w:val="Heading2"/>
        <w:bidi w:val="0"/>
        <w:rPr/>
      </w:pPr>
      <w:r>
        <w:rPr/>
        <w:t xml:space="preserve">3.5 </w:t>
      </w:r>
      <w:r>
        <w:rPr/>
        <w:t>争抢行为及支持问题的成因</w:t>
      </w:r>
    </w:p>
    <w:p>
      <w:pPr>
        <w:pStyle w:val="Heading3"/>
        <w:bidi w:val="0"/>
        <w:rPr/>
      </w:pPr>
      <w:r>
        <w:rPr/>
        <w:t xml:space="preserve">3.5.1 </w:t>
      </w:r>
      <w:r>
        <w:rPr/>
        <w:t>幼儿发展能力与集体生活要求之间存在落差</w:t>
      </w:r>
    </w:p>
    <w:p>
      <w:pPr>
        <w:pStyle w:val="BodyText"/>
        <w:bidi w:val="0"/>
        <w:rPr/>
      </w:pPr>
      <w:r>
        <w:rPr/>
        <w:t>托班幼儿的自主意识快速发展，常坚持“我来”“我要”，但语言、抑制控制和时间理解还不足以支持复杂协商。成人说“等一会儿”，幼儿未必理解等待长度；成人要求“分享”，幼儿也可能把它理解为立即失去正在使用的物品。幼儿的争抢是发展能力与多人共享环境之间的张力，不宜简单归因于家庭宠爱或品德问题。</w:t>
      </w:r>
    </w:p>
    <w:p>
      <w:pPr>
        <w:pStyle w:val="Heading3"/>
        <w:bidi w:val="0"/>
        <w:rPr/>
      </w:pPr>
      <w:r>
        <w:rPr/>
        <w:t xml:space="preserve">3.5.2 </w:t>
      </w:r>
      <w:r>
        <w:rPr/>
        <w:t>材料、空间与流程形成了可预防的外部诱因</w:t>
      </w:r>
    </w:p>
    <w:p>
      <w:pPr>
        <w:pStyle w:val="BodyText"/>
        <w:bidi w:val="0"/>
        <w:rPr/>
      </w:pPr>
      <w:r>
        <w:rPr/>
        <w:t>基线资料显示，高吸引力材料单一、区域入口拥挤、过渡等待过长与争抢聚集具有对应关系。若教师只训练幼儿克制，却不调整明显诱因，相当于持续让尚在发展自控能力的幼儿面对超出能力的要求。环境支持不是无限增加玩具，而是识别真正不可替代的材料，增加功能相近物，降低无意义等待，并让轮次可见。</w:t>
      </w:r>
    </w:p>
    <w:p>
      <w:pPr>
        <w:pStyle w:val="Heading3"/>
        <w:bidi w:val="0"/>
        <w:rPr/>
      </w:pPr>
      <w:r>
        <w:rPr/>
        <w:t xml:space="preserve">3.5.3 </w:t>
      </w:r>
      <w:r>
        <w:rPr/>
        <w:t>教师把快速平息作为首要目标</w:t>
      </w:r>
    </w:p>
    <w:p>
      <w:pPr>
        <w:pStyle w:val="BodyText"/>
        <w:bidi w:val="0"/>
        <w:rPr/>
      </w:pPr>
      <w:r>
        <w:rPr/>
        <w:t>托班照护任务密集，教师要同时保障安全、生活护理和活动组织，快速裁决具有现实合理性。问题在于，当“停止哭闹”成为唯一成功标准，教师容易过度使用拿走、分开、替代和命令。争抢事件虽结束，幼儿却没有获得能够迁移到下一次冲突的经验。</w:t>
      </w:r>
    </w:p>
    <w:p>
      <w:pPr>
        <w:pStyle w:val="Heading3"/>
        <w:bidi w:val="0"/>
        <w:rPr/>
      </w:pPr>
      <w:r>
        <w:rPr/>
        <w:t xml:space="preserve">3.5.4 </w:t>
      </w:r>
      <w:r>
        <w:rPr/>
        <w:t>教师缺少适合低龄幼儿的简短支架</w:t>
      </w:r>
    </w:p>
    <w:p>
      <w:pPr>
        <w:pStyle w:val="BodyText"/>
        <w:bidi w:val="0"/>
        <w:rPr/>
      </w:pPr>
      <w:r>
        <w:rPr/>
        <w:t>部分教师把调解理解为长时间询问“谁先抢的、为什么抢、这样对不对”，因而认为托班无法实施。事实上，低龄幼儿更需要教师用短句描述双方目标，提供手势、图片、沙漏和二选一方案。方法缺少年龄适宜性，是教师在“全包办”和“让幼儿自己处理”之间摇摆的重要原因。</w:t>
      </w:r>
    </w:p>
    <w:p>
      <w:pPr>
        <w:pStyle w:val="Heading3"/>
        <w:bidi w:val="0"/>
        <w:rPr/>
      </w:pPr>
      <w:r>
        <w:rPr/>
        <w:t xml:space="preserve">3.5.5 </w:t>
      </w:r>
      <w:r>
        <w:rPr/>
        <w:t>家园对分享、竞争和保护的观念不一致</w:t>
      </w:r>
    </w:p>
    <w:p>
      <w:pPr>
        <w:pStyle w:val="BodyText"/>
        <w:bidi w:val="0"/>
        <w:rPr/>
      </w:pPr>
      <w:r>
        <w:rPr/>
        <w:t>部分家长要求幼儿“好东西要马上分享”，另一些家长则强调“不能吃亏，别人抢你就抢回来”。两种极端都可能削弱幼儿理解合理边界：前者忽略幼儿继续使用的权利，后者强化力量竞争。若家园用语和处理原则不一致，幼儿难以形成稳定预期。</w:t>
      </w:r>
    </w:p>
    <w:p>
      <w:pPr>
        <w:pStyle w:val="Heading1"/>
        <w:bidi w:val="0"/>
        <w:rPr/>
      </w:pPr>
      <w:r>
        <w:rPr/>
        <w:t xml:space="preserve">4 </w:t>
      </w:r>
      <w:r>
        <w:rPr/>
        <w:t>教师教育支持策略的实践过程与效果</w:t>
      </w:r>
    </w:p>
    <w:p>
      <w:pPr>
        <w:pStyle w:val="BlockQuotation"/>
        <w:bidi w:val="0"/>
        <w:rPr/>
      </w:pPr>
      <w:r>
        <w:rPr>
          <w:rStyle w:val="Strong"/>
        </w:rPr>
        <w:t>本章的事件数、比例及案例均为示范数据，必须用真实行动研究记录替换。策略本身可结合班级实际调整后使用。</w:t>
      </w:r>
    </w:p>
    <w:p>
      <w:pPr>
        <w:pStyle w:val="Heading2"/>
        <w:bidi w:val="0"/>
        <w:rPr/>
      </w:pPr>
      <w:r>
        <w:rPr/>
        <w:t xml:space="preserve">4.1 </w:t>
      </w:r>
      <w:r>
        <w:rPr/>
        <w:t>支持原则与总体框架</w:t>
      </w:r>
    </w:p>
    <w:p>
      <w:pPr>
        <w:pStyle w:val="BodyText"/>
        <w:bidi w:val="0"/>
        <w:rPr/>
      </w:pPr>
      <w:r>
        <w:rPr/>
        <w:t>教育部《幼儿园教育指导纲要（试行）》提出，幼儿社会领域的学习应渗透于一日生活，教师要创设接纳、关爱和支持的环境，引导幼儿在共同生活、交往和游戏中学习互助、合作、分享与基本规则</w:t>
      </w:r>
      <w:r>
        <w:rPr/>
        <w:t>[3]</w:t>
      </w:r>
      <w:r>
        <w:rPr/>
        <w:t>。结合托班年龄特点，本研究确立四项支持原则。</w:t>
      </w:r>
    </w:p>
    <w:p>
      <w:pPr>
        <w:pStyle w:val="BodyText"/>
        <w:bidi w:val="0"/>
        <w:rPr/>
      </w:pPr>
      <w:r>
        <w:rPr/>
        <w:t>第一，安全优先但不止于制止。出现推打咬、颈部拉扯、持硬物挥击或即将跌倒等风险时，教师必须立即阻断，不以“自主解决”为由等待；危险解除后仍要帮助幼儿表达和恢复互动。</w:t>
      </w:r>
    </w:p>
    <w:p>
      <w:pPr>
        <w:pStyle w:val="BodyText"/>
        <w:bidi w:val="0"/>
        <w:rPr/>
      </w:pPr>
      <w:r>
        <w:rPr/>
        <w:t>第二，先理解需要，再讨论行为。教师可以接纳“很想要”“不愿被拿走”的感受，同时明确“手不能抢、不能推”的边界。接纳情绪不等于满足所有要求，限制行为也不等于否定幼儿。</w:t>
      </w:r>
    </w:p>
    <w:p>
      <w:pPr>
        <w:pStyle w:val="BodyText"/>
        <w:bidi w:val="0"/>
        <w:rPr/>
      </w:pPr>
      <w:r>
        <w:rPr/>
        <w:t>第三，支持程度与能力相匹配。幼儿能用语言解决时，教师退后观察；幼儿反复拉扯但风险不高时，教师提供一句话或一个工具；幼儿情绪失控或能力差异明显时，教师增加身体保护和共同解决。支持应当像可逐步撤除的支架，而不是固定替代。</w:t>
      </w:r>
    </w:p>
    <w:p>
      <w:pPr>
        <w:pStyle w:val="BodyText"/>
        <w:bidi w:val="0"/>
        <w:rPr/>
      </w:pPr>
      <w:r>
        <w:rPr/>
        <w:t>第四，把评价从“是否听话”转向“是否学会”。既观察争抢事件是否减少，也关注幼儿是否会说出需要、能否短暂等待、是否开始注意同伴、解决后能否恢复游戏，以及教师是否减少武断裁决。</w:t>
      </w:r>
    </w:p>
    <w:p>
      <w:pPr>
        <w:pStyle w:val="BodyText"/>
        <w:bidi w:val="0"/>
        <w:rPr/>
      </w:pPr>
      <w:r>
        <w:rPr/>
        <w:t>据此形成“环境预防—现场观察—分层介入—事后练习—家园协同—记录反思”的闭环。环境预防降低不必要冲突，现场支架保留有价值的学习机会，记录与反思则帮助教师根据证据持续改进。</w:t>
      </w:r>
    </w:p>
    <w:p>
      <w:pPr>
        <w:pStyle w:val="Heading2"/>
        <w:bidi w:val="0"/>
        <w:rPr/>
      </w:pPr>
      <w:r>
        <w:rPr/>
        <w:t xml:space="preserve">4.2 </w:t>
      </w:r>
      <w:r>
        <w:rPr/>
        <w:t>第一轮行动：减少诱因并建立可理解的规则</w:t>
      </w:r>
    </w:p>
    <w:p>
      <w:pPr>
        <w:pStyle w:val="Heading3"/>
        <w:bidi w:val="0"/>
        <w:rPr/>
      </w:pPr>
      <w:r>
        <w:rPr/>
        <w:t xml:space="preserve">4.2.1 </w:t>
      </w:r>
      <w:r>
        <w:rPr/>
        <w:t>调整高频争抢材料</w:t>
      </w:r>
    </w:p>
    <w:p>
      <w:pPr>
        <w:pStyle w:val="BodyText"/>
        <w:bidi w:val="0"/>
        <w:rPr/>
      </w:pPr>
      <w:r>
        <w:rPr/>
        <w:t>教师根据基线记录制作“高频争抢清单”，不平均增加所有玩具，而是处理真正集中的目标。对消防车、推行车、听诊器等可复制材料，增加功能相近的同类物并分散投放；对无法复制的大型玩具，提供等待标记和关联角色。例如，只有一辆大推车时，同时增加“装货员”“送货员”的篮筐和路线标志，使原本只能由一人占有的活动转变为可分工的共同游戏。</w:t>
      </w:r>
    </w:p>
    <w:p>
      <w:pPr>
        <w:pStyle w:val="BodyText"/>
        <w:bidi w:val="0"/>
        <w:rPr/>
      </w:pPr>
      <w:r>
        <w:rPr/>
        <w:t>材料调整避免两个误区。一是不能在每次争抢后立刻拿出新玩具，否则幼儿可能形成“争抢会带来更多资源”的联系；二是不能以材料充足为由取消所有社会学习机会。教师仍保留适量需要轮流的真实情境，但应使等待长度与托班能力相符。</w:t>
      </w:r>
    </w:p>
    <w:p>
      <w:pPr>
        <w:pStyle w:val="Heading3"/>
        <w:bidi w:val="0"/>
        <w:rPr/>
      </w:pPr>
      <w:r>
        <w:rPr/>
        <w:t xml:space="preserve">4.2.2 </w:t>
      </w:r>
      <w:r>
        <w:rPr/>
        <w:t>优化空间与过渡流程</w:t>
      </w:r>
    </w:p>
    <w:p>
      <w:pPr>
        <w:pStyle w:val="BodyText"/>
        <w:bidi w:val="0"/>
        <w:rPr/>
      </w:pPr>
      <w:r>
        <w:rPr/>
        <w:t>班级将建构区向外扩展一块地垫，移开入口处的柜子；娃娃家设置进、出两个开口；在车辆路线旁标出“停车位”，减少幼儿因不清楚边界相互阻挡。过渡前使用图片和固定音乐预告，先分小组洗手，再按完成情况进入下一环节，避免全班同时拥向同一处。</w:t>
      </w:r>
    </w:p>
    <w:p>
      <w:pPr>
        <w:pStyle w:val="BodyText"/>
        <w:bidi w:val="0"/>
        <w:rPr/>
      </w:pPr>
      <w:r>
        <w:rPr/>
        <w:t>教师尤其关注“活动尚未完成”的幼儿。收玩具前分别在</w:t>
      </w:r>
      <w:r>
        <w:rPr/>
        <w:t>5</w:t>
      </w:r>
      <w:r>
        <w:rPr/>
        <w:t>分钟和</w:t>
      </w:r>
      <w:r>
        <w:rPr/>
        <w:t>1</w:t>
      </w:r>
      <w:r>
        <w:rPr/>
        <w:t>分钟时提醒，允许幼儿把未完成作品放到“保留架”并贴上个人标记。这样既尊重幼儿持续游戏的需要，也减少其为保护作品而推开同伴或拒绝整理。</w:t>
      </w:r>
    </w:p>
    <w:p>
      <w:pPr>
        <w:pStyle w:val="Heading3"/>
        <w:bidi w:val="0"/>
        <w:rPr/>
      </w:pPr>
      <w:r>
        <w:rPr/>
        <w:t xml:space="preserve">4.2.3 </w:t>
      </w:r>
      <w:r>
        <w:rPr/>
        <w:t>让轮流和等待变得可见</w:t>
      </w:r>
    </w:p>
    <w:p>
      <w:pPr>
        <w:pStyle w:val="BodyText"/>
        <w:bidi w:val="0"/>
        <w:rPr/>
      </w:pPr>
      <w:r>
        <w:rPr/>
        <w:t>托班幼儿难以理解“等一下”。教师为高频轮流材料准备约</w:t>
      </w:r>
      <w:r>
        <w:rPr/>
        <w:t>30</w:t>
      </w:r>
      <w:r>
        <w:rPr/>
        <w:t>秒至</w:t>
      </w:r>
      <w:r>
        <w:rPr/>
        <w:t>1</w:t>
      </w:r>
      <w:r>
        <w:rPr/>
        <w:t>分钟的沙漏、轮流卡和等待脚印。教师不机械规定每件玩具都按相同时长，而是说：“沙子到下面，轮到乐乐。你可以在脚印这里等，也可以先装货。”幼儿若不能等待，可由教师陪同做一个短动作，降低纯粹等待的困难。</w:t>
      </w:r>
    </w:p>
    <w:p>
      <w:pPr>
        <w:pStyle w:val="BodyText"/>
        <w:bidi w:val="0"/>
        <w:rPr/>
      </w:pPr>
      <w:r>
        <w:rPr/>
        <w:t>班级只保留三条与争抢直接相关的简短规则：“手松开，不拉抢”“正在玩，可以说还没好”“想加入，可以说一起玩”。规则用真实照片或简单图画呈现，并在平静时练习，避免只在冲突高峰反复训诫。</w:t>
      </w:r>
    </w:p>
    <w:p>
      <w:pPr>
        <w:pStyle w:val="Heading3"/>
        <w:bidi w:val="0"/>
        <w:rPr/>
      </w:pPr>
      <w:r>
        <w:rPr/>
        <w:t xml:space="preserve">4.2.4 </w:t>
      </w:r>
      <w:r>
        <w:rPr/>
        <w:t>第一轮行动的反思</w:t>
      </w:r>
    </w:p>
    <w:p>
      <w:pPr>
        <w:pStyle w:val="BodyText"/>
        <w:bidi w:val="0"/>
        <w:rPr/>
      </w:pPr>
      <w:r>
        <w:rPr/>
        <w:t>【示范结果】第一轮</w:t>
      </w:r>
      <w:r>
        <w:rPr/>
        <w:t>15</w:t>
      </w:r>
      <w:r>
        <w:rPr/>
        <w:t>小时观察记录</w:t>
      </w:r>
      <w:r>
        <w:rPr/>
        <w:t>56</w:t>
      </w:r>
      <w:r>
        <w:rPr/>
        <w:t>起事件，单位时间发生率从</w:t>
      </w:r>
      <w:r>
        <w:rPr/>
        <w:t>5.00</w:t>
      </w:r>
      <w:r>
        <w:rPr/>
        <w:t>起降至</w:t>
      </w:r>
      <w:r>
        <w:rPr/>
        <w:t>3.73</w:t>
      </w:r>
      <w:r>
        <w:rPr/>
        <w:t>起。材料和空间诱发的简单争抢减少，但教师发现，仅靠增加材料不能解决对特定物品的持续兴趣，也不能帮助幼儿处理教师关注、角色分配等社会性冲突。部分幼儿把沙漏当作新玩具争抢，说明工具只有在成人陪伴解释并反复练习后才能发挥作用。</w:t>
      </w:r>
    </w:p>
    <w:p>
      <w:pPr>
        <w:pStyle w:val="BodyText"/>
        <w:bidi w:val="0"/>
        <w:rPr/>
      </w:pPr>
      <w:r>
        <w:rPr/>
        <w:t>复盘还发现，教师虽然开始提醒说“轮流”，但常直接替双方决定次序，幼儿只是在服从成人。第二轮行动因此把重点转向教师话语：减少追问和评判，先描述双方目标，再让幼儿在有限方案中参与选择。</w:t>
      </w:r>
    </w:p>
    <w:p>
      <w:pPr>
        <w:pStyle w:val="Heading2"/>
        <w:bidi w:val="0"/>
        <w:rPr/>
      </w:pPr>
      <w:r>
        <w:rPr/>
        <w:t xml:space="preserve">4.3 </w:t>
      </w:r>
      <w:r>
        <w:rPr/>
        <w:t>第二轮行动：提供语言支架并促进共同解决</w:t>
      </w:r>
    </w:p>
    <w:p>
      <w:pPr>
        <w:pStyle w:val="Heading3"/>
        <w:bidi w:val="0"/>
        <w:rPr/>
      </w:pPr>
      <w:r>
        <w:rPr/>
        <w:t xml:space="preserve">4.3.1 </w:t>
      </w:r>
      <w:r>
        <w:rPr/>
        <w:t>使用“停—说—听—想—试”五步支架</w:t>
      </w:r>
    </w:p>
    <w:p>
      <w:pPr>
        <w:pStyle w:val="BodyText"/>
        <w:bidi w:val="0"/>
        <w:rPr/>
      </w:pPr>
      <w:r>
        <w:rPr/>
        <w:t>第一步“停”是保障安全。教师靠近、蹲下，必要时轻柔阻隔双方的手，用稳定短句说“停，手松开”。不在远处连续喊叫，也不先追究对错。</w:t>
      </w:r>
    </w:p>
    <w:p>
      <w:pPr>
        <w:pStyle w:val="BodyText"/>
        <w:bidi w:val="0"/>
        <w:rPr/>
      </w:pPr>
      <w:r>
        <w:rPr/>
        <w:t>第二步“说”是帮助表达。教师分别描述：“晨晨还想玩这辆车”“朵朵也想开”。会说短句的幼儿可补充；语言较弱者可以指图或点头。教师避免连续问“为什么抢”，因为幼儿在高情绪下通常难以进行因果陈述。</w:t>
      </w:r>
    </w:p>
    <w:p>
      <w:pPr>
        <w:pStyle w:val="BodyText"/>
        <w:bidi w:val="0"/>
        <w:rPr/>
      </w:pPr>
      <w:r>
        <w:rPr/>
        <w:t>第三步“听”是让双方目标同时在场。教师把幼儿的表达转向同伴：“你听，晨晨说还没玩好”“朵朵在等红车”。对托班而言，“听”不要求幼儿立即认同，只要求短暂停止动作并注意对方。</w:t>
      </w:r>
    </w:p>
    <w:p>
      <w:pPr>
        <w:pStyle w:val="BodyText"/>
        <w:bidi w:val="0"/>
        <w:rPr/>
      </w:pPr>
      <w:r>
        <w:rPr/>
        <w:t>第四步“想”是提出少量可行方案。教师不使用过于开放的“你们自己想怎么办”，而给出二选一：“用沙漏轮流，还是一起把车开到消防站？”若幼儿已有经验，教师再问“还有别的办法吗”。方案必须具体、当下可执行，并兼顾双方核心需要。</w:t>
      </w:r>
    </w:p>
    <w:p>
      <w:pPr>
        <w:pStyle w:val="BodyText"/>
        <w:bidi w:val="0"/>
        <w:rPr/>
      </w:pPr>
      <w:r>
        <w:rPr/>
        <w:t>第五步“试”是执行和跟进。选择轮流后，教师陪幼儿看完最初一次沙漏；选择共玩后，教师帮助分配互补动作。若方案失败，教师说“这个办法还不行，我们换一个”，使幼儿理解解决问题可以反复尝试，而不是把失败归咎于某个孩子“不乖”。</w:t>
      </w:r>
    </w:p>
    <w:p>
      <w:pPr>
        <w:pStyle w:val="Heading3"/>
        <w:bidi w:val="0"/>
        <w:rPr/>
      </w:pPr>
      <w:r>
        <w:rPr/>
        <w:t xml:space="preserve">4.3.2 </w:t>
      </w:r>
      <w:r>
        <w:rPr/>
        <w:t>用情绪回应降低对抗</w:t>
      </w:r>
    </w:p>
    <w:p>
      <w:pPr>
        <w:pStyle w:val="BodyText"/>
        <w:bidi w:val="0"/>
        <w:rPr/>
      </w:pPr>
      <w:r>
        <w:rPr/>
        <w:t>教师把“别哭”“这有什么好哭的”改为对事实和感受的简短回应：“车被拿走，你很急”“你怕积木倒了，所以挡住他”。当幼儿情绪强烈时，先陪其呼吸、抱安抚物或到教师身边短暂停留，再谈方案。教师不要求仍在哭喊的幼儿立即道歉或重复规则。</w:t>
      </w:r>
    </w:p>
    <w:p>
      <w:pPr>
        <w:pStyle w:val="BodyText"/>
        <w:bidi w:val="0"/>
        <w:rPr/>
      </w:pPr>
      <w:r>
        <w:rPr/>
        <w:t>情绪回应也用于持物一方。过去教师关注哭泣者较多，容易忽视正在保护游戏的幼儿。第二轮要求教师同时承认两边：“你想继续搭，他也想放一块。”这种平衡回应有助于减少幼儿必须通过更大动作证明自己需要的情况。</w:t>
      </w:r>
    </w:p>
    <w:p>
      <w:pPr>
        <w:pStyle w:val="Heading3"/>
        <w:bidi w:val="0"/>
        <w:rPr/>
      </w:pPr>
      <w:r>
        <w:rPr/>
        <w:t xml:space="preserve">4.3.3 </w:t>
      </w:r>
      <w:r>
        <w:rPr/>
        <w:t>通过微型活动积累交往脚本</w:t>
      </w:r>
    </w:p>
    <w:p>
      <w:pPr>
        <w:pStyle w:val="BodyText"/>
        <w:bidi w:val="0"/>
        <w:rPr/>
      </w:pPr>
      <w:r>
        <w:rPr/>
        <w:t>每周安排</w:t>
      </w:r>
      <w:r>
        <w:rPr/>
        <w:t>2—3</w:t>
      </w:r>
      <w:r>
        <w:rPr/>
        <w:t>次、每次</w:t>
      </w:r>
      <w:r>
        <w:rPr/>
        <w:t>5—8</w:t>
      </w:r>
      <w:r>
        <w:rPr/>
        <w:t>分钟的微型活动。一类是玩偶情境：两只玩偶同时想要小鼓，请幼儿选择“轮流、一起敲、换一个”等图片；一类是合作动作：两人共同拉布运球、一起抬箱子，让合作产生可见结果；一类是拒绝与等待练习：教师示范“我还没好”“好，我等沙漏”。</w:t>
      </w:r>
    </w:p>
    <w:p>
      <w:pPr>
        <w:pStyle w:val="BodyText"/>
        <w:bidi w:val="0"/>
        <w:rPr/>
      </w:pPr>
      <w:r>
        <w:rPr/>
        <w:t>教师重视在真实情境中提示迁移。当幼儿说出“我还要玩”而没有拉抢时，教师进行具体反馈：“你用话告诉他了，手没有抢。”当幼儿完成一次等待，教师指出过程：“你看完沙漏，现在轮到你。”评价聚焦可学习行为，避免笼统表扬“真乖”“真大方”。</w:t>
      </w:r>
    </w:p>
    <w:p>
      <w:pPr>
        <w:pStyle w:val="Heading3"/>
        <w:bidi w:val="0"/>
        <w:rPr/>
      </w:pPr>
      <w:r>
        <w:rPr/>
        <w:t xml:space="preserve">4.3.4 </w:t>
      </w:r>
      <w:r>
        <w:rPr/>
        <w:t>第二轮中的典型转变</w:t>
      </w:r>
    </w:p>
    <w:p>
      <w:pPr>
        <w:pStyle w:val="BodyText"/>
        <w:bidi w:val="0"/>
        <w:rPr/>
      </w:pPr>
      <w:r>
        <w:rPr/>
        <w:t>【示范案例，须替换】建构区中，航航拿着长积木搭桥，西西伸手抽取，航航压住积木尖叫。教师立即扶稳即将倒塌的积木，说：“停，积木会砸到脚。航航还在搭，西西想要长的。”教师给西西看两张方案卡：“等他搭好，还是一起找一根？”西西指向“找一根”，航航随后从盒中拿出另一根递给西西。教师说：“你们找到两根，都能搭。”两名幼儿在相邻位置继续游戏，约一分钟后开始把两座桥连接起来。</w:t>
      </w:r>
    </w:p>
    <w:p>
      <w:pPr>
        <w:pStyle w:val="BodyText"/>
        <w:bidi w:val="0"/>
        <w:rPr/>
      </w:pPr>
      <w:r>
        <w:rPr/>
        <w:t>与基线案例相比，教师仍然先控制危险，但没有立即判定谁对谁错。她用一句话呈现双方目标，并提供符合幼儿语言能力的选择。更重要的是，教师跟进到方案执行和游戏恢复。该事件的教育价值不在于幼儿一次就学会“分享”，而在于其体验了动作暂停、目标被理解、选择方案和继续游戏的完整过程。</w:t>
      </w:r>
    </w:p>
    <w:p>
      <w:pPr>
        <w:pStyle w:val="Heading2"/>
        <w:bidi w:val="0"/>
        <w:rPr/>
      </w:pPr>
      <w:r>
        <w:rPr/>
        <w:t xml:space="preserve">4.4 </w:t>
      </w:r>
      <w:r>
        <w:rPr/>
        <w:t>分层介入：依据安全风险和幼儿能力调整支持</w:t>
      </w:r>
    </w:p>
    <w:p>
      <w:pPr>
        <w:pStyle w:val="BodyText"/>
        <w:bidi w:val="0"/>
        <w:rPr/>
      </w:pPr>
      <w:r>
        <w:rPr/>
        <w:t>同一种策略不能覆盖所有事件。研究形成三级介入框架。</w:t>
      </w:r>
    </w:p>
    <w:p>
      <w:pPr>
        <w:pStyle w:val="BodyText"/>
        <w:bidi w:val="0"/>
        <w:rPr/>
      </w:pPr>
      <w:r>
        <w:rPr/>
        <w:t>一级为观察与轻提示。适用于无身体危险、双方情绪较低，且已有表达或轮流经验的事件。教师保持可见、可接近，等待</w:t>
      </w:r>
      <w:r>
        <w:rPr/>
        <w:t>3—5</w:t>
      </w:r>
      <w:r>
        <w:rPr/>
        <w:t>秒；必要时只说“你可以告诉他”或指向轮流卡。如果幼儿形成方案，教师不过度追问，让同伴互动自然继续。</w:t>
      </w:r>
    </w:p>
    <w:p>
      <w:pPr>
        <w:pStyle w:val="BodyText"/>
        <w:bidi w:val="0"/>
        <w:rPr/>
      </w:pPr>
      <w:r>
        <w:rPr/>
        <w:t>二级为支架性调解。适用于反复拉扯、哭喊升级、语言差异明显或幼儿主动求助的事件。教师使用五步支架，帮助双方表达并执行方案。介入重点是保持共同解决权，不替幼儿做所有决定。</w:t>
      </w:r>
    </w:p>
    <w:p>
      <w:pPr>
        <w:pStyle w:val="BodyText"/>
        <w:bidi w:val="0"/>
        <w:rPr/>
      </w:pPr>
      <w:r>
        <w:rPr/>
        <w:t>三级为保护性介入。适用于推打咬、使用危险物、力量明显悬殊、幼儿持续恐惧或同一幼儿反复受损。教师立即阻断并分开到安全距离，先照顾受伤或受惊幼儿，再帮助双方恢复。对反复发生的高风险行为，应进行个别功能性观察，分析是否与感觉需要、语言困难、疲劳、环境拥挤或成人回应有关，并与家长和专业人员合作，不能公开贴标签或惩罚羞辱。</w:t>
      </w:r>
    </w:p>
    <w:p>
      <w:pPr>
        <w:pStyle w:val="BodyText"/>
        <w:bidi w:val="0"/>
        <w:rPr/>
      </w:pPr>
      <w:r>
        <w:rPr/>
        <w:t>三级框架解决了“什么时候该管”的问题：教师不是按个人情绪或谁哭得响决定介入，而是综合安全、情绪、能力和公平性判断。介入层级可以在同一事件中变化，例如先三级制止危险，情绪稳定后转为二级调解。</w:t>
      </w:r>
    </w:p>
    <w:p>
      <w:pPr>
        <w:pStyle w:val="Heading2"/>
        <w:bidi w:val="0"/>
        <w:rPr/>
      </w:pPr>
      <w:r>
        <w:rPr/>
        <w:t xml:space="preserve">4.5 </w:t>
      </w:r>
      <w:r>
        <w:rPr/>
        <w:t>家园协同：形成一致而不过度控制的支持方式</w:t>
      </w:r>
    </w:p>
    <w:p>
      <w:pPr>
        <w:pStyle w:val="BodyText"/>
        <w:bidi w:val="0"/>
        <w:rPr/>
      </w:pPr>
      <w:r>
        <w:rPr/>
        <w:t>研究通过家长简报、接送时简短沟通和一次主题交流，说明争抢在</w:t>
      </w:r>
      <w:r>
        <w:rPr/>
        <w:t>2—3</w:t>
      </w:r>
      <w:r>
        <w:rPr/>
        <w:t>岁阶段的普遍性、班级观察结果和常用支架。沟通避免只在幼儿“出事”后联系家长，也避免把事件简化成“谁欺负谁”。教师以去标签方式描述：“今天两人同时想玩消防车，孩子先拉扯，后来在沙漏帮助下完成一次轮流。”</w:t>
      </w:r>
    </w:p>
    <w:p>
      <w:pPr>
        <w:pStyle w:val="BodyText"/>
        <w:bidi w:val="0"/>
        <w:rPr/>
      </w:pPr>
      <w:r>
        <w:rPr/>
        <w:t>家庭可以在穿鞋、选绘本、推小车等真实生活中练习轮流，用与班级一致的短句：“你还没用完，可以说出来”“他不同意时，手先停”“我们一起想办法”。家长不强迫幼儿把所有个人物品立即送给别人；尊重合理占有，才能让分享成为自愿、可理解的社会行为。同时，家长不示范“抢回来”，遇到矛盾先保护安全，再帮助幼儿说明需要。</w:t>
      </w:r>
    </w:p>
    <w:p>
      <w:pPr>
        <w:pStyle w:val="BodyText"/>
        <w:bidi w:val="0"/>
        <w:rPr/>
      </w:pPr>
      <w:r>
        <w:rPr/>
        <w:t>家园协同还应尊重差异。对语言发展较慢、进入集体时间较短或情绪调节困难的幼儿，教师与家长共享有效的手势、安抚方式和兴趣材料，但不在家长群公开讨论个案。若行为持续高频并影响安全，应以完整观察资料为基础，与家长商议进一步评估，而不是凭单次事件作出诊断。</w:t>
      </w:r>
    </w:p>
    <w:p>
      <w:pPr>
        <w:pStyle w:val="Heading2"/>
        <w:bidi w:val="0"/>
        <w:rPr/>
      </w:pPr>
      <w:r>
        <w:rPr/>
        <w:t xml:space="preserve">4.6 </w:t>
      </w:r>
      <w:r>
        <w:rPr/>
        <w:t>实践效果分析</w:t>
      </w:r>
    </w:p>
    <w:p>
      <w:pPr>
        <w:pStyle w:val="Heading3"/>
        <w:bidi w:val="0"/>
        <w:rPr/>
      </w:pPr>
      <w:r>
        <w:rPr/>
        <w:t xml:space="preserve">4.6.1 </w:t>
      </w:r>
      <w:r>
        <w:rPr/>
        <w:t>单位时间争抢事件呈下降趋势</w:t>
      </w:r>
    </w:p>
    <w:p>
      <w:pPr>
        <w:pStyle w:val="BodyText"/>
        <w:bidi w:val="0"/>
        <w:rPr/>
      </w:pPr>
      <w:r>
        <w:rPr/>
        <w:t>四阶段等时观察结果见表</w:t>
      </w:r>
      <w:r>
        <w:rPr/>
        <w:t>5</w:t>
      </w:r>
      <w:r>
        <w:rPr/>
        <w:t>。</w:t>
      </w:r>
    </w:p>
    <w:p>
      <w:pPr>
        <w:pStyle w:val="BodyText"/>
        <w:bidi w:val="0"/>
        <w:rPr/>
      </w:pPr>
      <w:r>
        <w:rPr>
          <w:rStyle w:val="Strong"/>
        </w:rPr>
        <w:t>表</w:t>
      </w:r>
      <w:r>
        <w:rPr>
          <w:rStyle w:val="Strong"/>
        </w:rPr>
        <w:t xml:space="preserve">5 </w:t>
      </w:r>
      <w:r>
        <w:rPr>
          <w:rStyle w:val="Strong"/>
        </w:rPr>
        <w:t>各阶段争抢事件发生率（示范数据）</w:t>
      </w:r>
    </w:p>
    <w:tbl>
      <w:tblPr>
        <w:tblW w:w="3839" w:type="dxa"/>
        <w:jc w:val="start"/>
        <w:tblInd w:w="-7" w:type="dxa"/>
        <w:tblLayout w:type="fixed"/>
        <w:tblCellMar>
          <w:top w:w="75" w:type="dxa"/>
          <w:start w:w="75" w:type="dxa"/>
          <w:bottom w:w="75" w:type="dxa"/>
          <w:end w:w="75" w:type="dxa"/>
        </w:tblCellMar>
      </w:tblPr>
      <w:tblGrid>
        <w:gridCol w:w="905"/>
        <w:gridCol w:w="651"/>
        <w:gridCol w:w="651"/>
        <w:gridCol w:w="891"/>
        <w:gridCol w:w="741"/>
      </w:tblGrid>
      <w:tr>
        <w:trPr>
          <w:tblHeader w:val="true"/>
        </w:trPr>
        <w:tc>
          <w:tcPr>
            <w:tcW w:w="905"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阶段</w:t>
            </w:r>
          </w:p>
        </w:tc>
        <w:tc>
          <w:tcPr>
            <w:tcW w:w="651"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观察时长</w:t>
            </w:r>
          </w:p>
        </w:tc>
        <w:tc>
          <w:tcPr>
            <w:tcW w:w="651"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事件数</w:t>
            </w:r>
          </w:p>
        </w:tc>
        <w:tc>
          <w:tcPr>
            <w:tcW w:w="891"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每小时事件数</w:t>
            </w:r>
          </w:p>
        </w:tc>
        <w:tc>
          <w:tcPr>
            <w:tcW w:w="741"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较基线变化</w:t>
            </w:r>
          </w:p>
        </w:tc>
      </w:tr>
      <w:tr>
        <w:trPr/>
        <w:tc>
          <w:tcPr>
            <w:tcW w:w="9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基线期</w:t>
            </w:r>
          </w:p>
        </w:tc>
        <w:tc>
          <w:tcPr>
            <w:tcW w:w="65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15</w:t>
            </w:r>
            <w:r>
              <w:rPr/>
              <w:t>小时</w:t>
            </w:r>
          </w:p>
        </w:tc>
        <w:tc>
          <w:tcPr>
            <w:tcW w:w="65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75</w:t>
            </w:r>
          </w:p>
        </w:tc>
        <w:tc>
          <w:tcPr>
            <w:tcW w:w="89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5.00</w:t>
            </w:r>
          </w:p>
        </w:tc>
        <w:tc>
          <w:tcPr>
            <w:tcW w:w="741"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w:t>
            </w:r>
          </w:p>
        </w:tc>
      </w:tr>
      <w:tr>
        <w:trPr/>
        <w:tc>
          <w:tcPr>
            <w:tcW w:w="9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第一轮行动</w:t>
            </w:r>
          </w:p>
        </w:tc>
        <w:tc>
          <w:tcPr>
            <w:tcW w:w="65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15</w:t>
            </w:r>
            <w:r>
              <w:rPr/>
              <w:t>小时</w:t>
            </w:r>
          </w:p>
        </w:tc>
        <w:tc>
          <w:tcPr>
            <w:tcW w:w="65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56</w:t>
            </w:r>
          </w:p>
        </w:tc>
        <w:tc>
          <w:tcPr>
            <w:tcW w:w="89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3.73</w:t>
            </w:r>
          </w:p>
        </w:tc>
        <w:tc>
          <w:tcPr>
            <w:tcW w:w="741"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-25.3%</w:t>
            </w:r>
          </w:p>
        </w:tc>
      </w:tr>
      <w:tr>
        <w:trPr/>
        <w:tc>
          <w:tcPr>
            <w:tcW w:w="905"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第二轮行动</w:t>
            </w:r>
          </w:p>
        </w:tc>
        <w:tc>
          <w:tcPr>
            <w:tcW w:w="65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15</w:t>
            </w:r>
            <w:r>
              <w:rPr/>
              <w:t>小时</w:t>
            </w:r>
          </w:p>
        </w:tc>
        <w:tc>
          <w:tcPr>
            <w:tcW w:w="65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39</w:t>
            </w:r>
          </w:p>
        </w:tc>
        <w:tc>
          <w:tcPr>
            <w:tcW w:w="891"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2.60</w:t>
            </w:r>
          </w:p>
        </w:tc>
        <w:tc>
          <w:tcPr>
            <w:tcW w:w="741"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-48.0%</w:t>
            </w:r>
          </w:p>
        </w:tc>
      </w:tr>
      <w:tr>
        <w:trPr/>
        <w:tc>
          <w:tcPr>
            <w:tcW w:w="905"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追踪期</w:t>
            </w:r>
          </w:p>
        </w:tc>
        <w:tc>
          <w:tcPr>
            <w:tcW w:w="651"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10</w:t>
            </w:r>
            <w:r>
              <w:rPr/>
              <w:t>小时</w:t>
            </w:r>
          </w:p>
        </w:tc>
        <w:tc>
          <w:tcPr>
            <w:tcW w:w="651"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27</w:t>
            </w:r>
          </w:p>
        </w:tc>
        <w:tc>
          <w:tcPr>
            <w:tcW w:w="891"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2.70</w:t>
            </w:r>
          </w:p>
        </w:tc>
        <w:tc>
          <w:tcPr>
            <w:tcW w:w="741"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-46.0%</w:t>
            </w:r>
          </w:p>
        </w:tc>
      </w:tr>
    </w:tbl>
    <w:p>
      <w:pPr>
        <w:pStyle w:val="BodyText"/>
        <w:bidi w:val="0"/>
        <w:rPr/>
      </w:pPr>
      <w:r>
        <w:rPr/>
        <w:t>示范数据表明，第一轮环境和流程调整后事件率下降，第二轮加入互动支架后继续下降，追踪期基本维持。分析不能据此声称策略是唯一原因，因为幼儿自然发展、出勤变化、主题材料和教师熟练度都可能影响结果。正式论文应同时报告各阶段出勤、观察时段和重大活动变化，并通过典型事件说明变化机制。</w:t>
      </w:r>
    </w:p>
    <w:p>
      <w:pPr>
        <w:pStyle w:val="Heading3"/>
        <w:bidi w:val="0"/>
        <w:rPr/>
      </w:pPr>
      <w:r>
        <w:rPr/>
        <w:t xml:space="preserve">4.6.2 </w:t>
      </w:r>
      <w:r>
        <w:rPr/>
        <w:t>幼儿由直接动作逐步转向表达和协商</w:t>
      </w:r>
    </w:p>
    <w:p>
      <w:pPr>
        <w:pStyle w:val="BodyText"/>
        <w:bidi w:val="0"/>
        <w:rPr/>
      </w:pPr>
      <w:r>
        <w:rPr/>
        <w:t>表</w:t>
      </w:r>
      <w:r>
        <w:rPr/>
        <w:t>6</w:t>
      </w:r>
      <w:r>
        <w:rPr/>
        <w:t>比较基线期与第二轮行动期的首个主要反应。</w:t>
      </w:r>
    </w:p>
    <w:p>
      <w:pPr>
        <w:pStyle w:val="BodyText"/>
        <w:bidi w:val="0"/>
        <w:rPr/>
      </w:pPr>
      <w:r>
        <w:rPr>
          <w:rStyle w:val="Strong"/>
        </w:rPr>
        <w:t>表</w:t>
      </w:r>
      <w:r>
        <w:rPr>
          <w:rStyle w:val="Strong"/>
        </w:rPr>
        <w:t xml:space="preserve">6 </w:t>
      </w:r>
      <w:r>
        <w:rPr>
          <w:rStyle w:val="Strong"/>
        </w:rPr>
        <w:t>幼儿首个主要反应的前后比较（示范数据）</w:t>
      </w:r>
    </w:p>
    <w:tbl>
      <w:tblPr>
        <w:tblW w:w="5000" w:type="pct"/>
        <w:jc w:val="start"/>
        <w:tblInd w:w="-7" w:type="dxa"/>
        <w:tblLayout w:type="fixed"/>
        <w:tblCellMar>
          <w:top w:w="75" w:type="dxa"/>
          <w:start w:w="75" w:type="dxa"/>
          <w:bottom w:w="75" w:type="dxa"/>
          <w:end w:w="75" w:type="dxa"/>
        </w:tblCellMar>
      </w:tblPr>
      <w:tblGrid>
        <w:gridCol w:w="1564"/>
        <w:gridCol w:w="1129"/>
        <w:gridCol w:w="1146"/>
      </w:tblGrid>
      <w:tr>
        <w:trPr>
          <w:tblHeader w:val="true"/>
        </w:trPr>
        <w:tc>
          <w:tcPr>
            <w:tcW w:w="1564"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首个主要反应</w:t>
            </w:r>
          </w:p>
        </w:tc>
        <w:tc>
          <w:tcPr>
            <w:tcW w:w="1129"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基线期（</w:t>
            </w:r>
            <w:r>
              <w:rPr/>
              <w:t>n=75</w:t>
            </w:r>
            <w:r>
              <w:rPr/>
              <w:t>）</w:t>
            </w:r>
          </w:p>
        </w:tc>
        <w:tc>
          <w:tcPr>
            <w:tcW w:w="1146"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第二轮（</w:t>
            </w:r>
            <w:r>
              <w:rPr/>
              <w:t>n=39</w:t>
            </w:r>
            <w:r>
              <w:rPr/>
              <w:t>）</w:t>
            </w:r>
          </w:p>
        </w:tc>
      </w:tr>
      <w:tr>
        <w:trPr/>
        <w:tc>
          <w:tcPr>
            <w:tcW w:w="1564"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直接拿取、拉扯或护物</w:t>
            </w:r>
          </w:p>
        </w:tc>
        <w:tc>
          <w:tcPr>
            <w:tcW w:w="1129"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38.7%</w:t>
            </w:r>
          </w:p>
        </w:tc>
        <w:tc>
          <w:tcPr>
            <w:tcW w:w="1146"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17.9%</w:t>
            </w:r>
          </w:p>
        </w:tc>
      </w:tr>
      <w:tr>
        <w:trPr/>
        <w:tc>
          <w:tcPr>
            <w:tcW w:w="1564"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哭喊、尖叫</w:t>
            </w:r>
          </w:p>
        </w:tc>
        <w:tc>
          <w:tcPr>
            <w:tcW w:w="1129"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21.3%</w:t>
            </w:r>
          </w:p>
        </w:tc>
        <w:tc>
          <w:tcPr>
            <w:tcW w:w="1146"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12.8%</w:t>
            </w:r>
          </w:p>
        </w:tc>
      </w:tr>
      <w:tr>
        <w:trPr/>
        <w:tc>
          <w:tcPr>
            <w:tcW w:w="1564"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口头请求或拒绝</w:t>
            </w:r>
          </w:p>
        </w:tc>
        <w:tc>
          <w:tcPr>
            <w:tcW w:w="1129"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18.7%</w:t>
            </w:r>
          </w:p>
        </w:tc>
        <w:tc>
          <w:tcPr>
            <w:tcW w:w="1146"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28.2%</w:t>
            </w:r>
          </w:p>
        </w:tc>
      </w:tr>
      <w:tr>
        <w:trPr/>
        <w:tc>
          <w:tcPr>
            <w:tcW w:w="1564"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求助教师</w:t>
            </w:r>
          </w:p>
        </w:tc>
        <w:tc>
          <w:tcPr>
            <w:tcW w:w="1129"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10.7%</w:t>
            </w:r>
          </w:p>
        </w:tc>
        <w:tc>
          <w:tcPr>
            <w:tcW w:w="1146"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12.8%</w:t>
            </w:r>
          </w:p>
        </w:tc>
      </w:tr>
      <w:tr>
        <w:trPr/>
        <w:tc>
          <w:tcPr>
            <w:tcW w:w="1564"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让步或离开</w:t>
            </w:r>
          </w:p>
        </w:tc>
        <w:tc>
          <w:tcPr>
            <w:tcW w:w="1129"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8.0%</w:t>
            </w:r>
          </w:p>
        </w:tc>
        <w:tc>
          <w:tcPr>
            <w:tcW w:w="1146"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7.7%</w:t>
            </w:r>
          </w:p>
        </w:tc>
      </w:tr>
      <w:tr>
        <w:trPr/>
        <w:tc>
          <w:tcPr>
            <w:tcW w:w="1564"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主动协商、轮流或邀请共玩</w:t>
            </w:r>
          </w:p>
        </w:tc>
        <w:tc>
          <w:tcPr>
            <w:tcW w:w="1129"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2.7%</w:t>
            </w:r>
          </w:p>
        </w:tc>
        <w:tc>
          <w:tcPr>
            <w:tcW w:w="1146"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20.5%</w:t>
            </w:r>
          </w:p>
        </w:tc>
      </w:tr>
    </w:tbl>
    <w:p>
      <w:pPr>
        <w:pStyle w:val="BodyText"/>
        <w:bidi w:val="0"/>
        <w:rPr/>
      </w:pPr>
      <w:r>
        <w:rPr/>
        <w:t>直接动作和哭喊比例下降，口头表达与协商比例提高。求助教师未明显减少，不应简单视为负面结果。对托班幼儿而言，主动寻求可信成人帮助本身是安全和社会沟通能力；需要进一步区分幼儿是要求教师惩罚同伴，还是邀请教师帮助表达和想办法。</w:t>
      </w:r>
    </w:p>
    <w:p>
      <w:pPr>
        <w:pStyle w:val="Heading3"/>
        <w:bidi w:val="0"/>
        <w:rPr/>
      </w:pPr>
      <w:r>
        <w:rPr/>
        <w:t xml:space="preserve">4.6.3 </w:t>
      </w:r>
      <w:r>
        <w:rPr/>
        <w:t>教师介入由替代性处理转向调解性支持</w:t>
      </w:r>
    </w:p>
    <w:p>
      <w:pPr>
        <w:pStyle w:val="BodyText"/>
        <w:bidi w:val="0"/>
        <w:rPr/>
      </w:pPr>
      <w:r>
        <w:rPr/>
        <w:t>第二轮</w:t>
      </w:r>
      <w:r>
        <w:rPr/>
        <w:t>39</w:t>
      </w:r>
      <w:r>
        <w:rPr/>
        <w:t>起事件中教师介入</w:t>
      </w:r>
      <w:r>
        <w:rPr/>
        <w:t>32</w:t>
      </w:r>
      <w:r>
        <w:rPr/>
        <w:t>起。与基线相比，直接裁决、安全制止、替代转移和命令的合计比例下降，调解与情绪回应上升，见表</w:t>
      </w:r>
      <w:r>
        <w:rPr/>
        <w:t>7</w:t>
      </w:r>
      <w:r>
        <w:rPr/>
        <w:t>。</w:t>
      </w:r>
    </w:p>
    <w:p>
      <w:pPr>
        <w:pStyle w:val="BodyText"/>
        <w:bidi w:val="0"/>
        <w:rPr/>
      </w:pPr>
      <w:r>
        <w:rPr>
          <w:rStyle w:val="Strong"/>
        </w:rPr>
        <w:t>表</w:t>
      </w:r>
      <w:r>
        <w:rPr>
          <w:rStyle w:val="Strong"/>
        </w:rPr>
        <w:t xml:space="preserve">7 </w:t>
      </w:r>
      <w:r>
        <w:rPr>
          <w:rStyle w:val="Strong"/>
        </w:rPr>
        <w:t>教师主导介入策略的前后比较（示范数据）</w:t>
      </w:r>
    </w:p>
    <w:tbl>
      <w:tblPr>
        <w:tblW w:w="5000" w:type="pct"/>
        <w:jc w:val="start"/>
        <w:tblInd w:w="-7" w:type="dxa"/>
        <w:tblLayout w:type="fixed"/>
        <w:tblCellMar>
          <w:top w:w="75" w:type="dxa"/>
          <w:start w:w="75" w:type="dxa"/>
          <w:bottom w:w="75" w:type="dxa"/>
          <w:end w:w="75" w:type="dxa"/>
        </w:tblCellMar>
      </w:tblPr>
      <w:tblGrid>
        <w:gridCol w:w="1546"/>
        <w:gridCol w:w="1138"/>
        <w:gridCol w:w="1155"/>
      </w:tblGrid>
      <w:tr>
        <w:trPr>
          <w:tblHeader w:val="true"/>
        </w:trPr>
        <w:tc>
          <w:tcPr>
            <w:tcW w:w="1546"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283"/>
              <w:ind w:hanging="0" w:start="0" w:end="0"/>
              <w:rPr/>
            </w:pPr>
            <w:r>
              <w:rPr/>
              <w:t>主导策略</w:t>
            </w:r>
          </w:p>
        </w:tc>
        <w:tc>
          <w:tcPr>
            <w:tcW w:w="1138"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ind w:hanging="0" w:start="0" w:end="0"/>
              <w:jc w:val="end"/>
              <w:rPr/>
            </w:pPr>
            <w:r>
              <w:rPr/>
              <w:t>基线期（</w:t>
            </w:r>
            <w:r>
              <w:rPr/>
              <w:t>n=61</w:t>
            </w:r>
            <w:r>
              <w:rPr/>
              <w:t>）</w:t>
            </w:r>
          </w:p>
        </w:tc>
        <w:tc>
          <w:tcPr>
            <w:tcW w:w="1155"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283"/>
              <w:jc w:val="end"/>
              <w:rPr/>
            </w:pPr>
            <w:r>
              <w:rPr/>
              <w:t>第二轮（</w:t>
            </w:r>
            <w:r>
              <w:rPr/>
              <w:t>n=32</w:t>
            </w:r>
            <w:r>
              <w:rPr/>
              <w:t>）</w:t>
            </w:r>
          </w:p>
        </w:tc>
      </w:tr>
      <w:tr>
        <w:trPr/>
        <w:tc>
          <w:tcPr>
            <w:tcW w:w="154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直接裁决或重新分配</w:t>
            </w:r>
          </w:p>
        </w:tc>
        <w:tc>
          <w:tcPr>
            <w:tcW w:w="1138"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29.5%</w:t>
            </w:r>
          </w:p>
        </w:tc>
        <w:tc>
          <w:tcPr>
            <w:tcW w:w="115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15.6%</w:t>
            </w:r>
          </w:p>
        </w:tc>
      </w:tr>
      <w:tr>
        <w:trPr/>
        <w:tc>
          <w:tcPr>
            <w:tcW w:w="154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安全制止、分开双方</w:t>
            </w:r>
          </w:p>
        </w:tc>
        <w:tc>
          <w:tcPr>
            <w:tcW w:w="1138"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23.0%</w:t>
            </w:r>
          </w:p>
        </w:tc>
        <w:tc>
          <w:tcPr>
            <w:tcW w:w="115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15.6%</w:t>
            </w:r>
          </w:p>
        </w:tc>
      </w:tr>
      <w:tr>
        <w:trPr/>
        <w:tc>
          <w:tcPr>
            <w:tcW w:w="154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转移注意、提供替代物</w:t>
            </w:r>
          </w:p>
        </w:tc>
        <w:tc>
          <w:tcPr>
            <w:tcW w:w="1138"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19.7%</w:t>
            </w:r>
          </w:p>
        </w:tc>
        <w:tc>
          <w:tcPr>
            <w:tcW w:w="115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12.5%</w:t>
            </w:r>
          </w:p>
        </w:tc>
      </w:tr>
      <w:tr>
        <w:trPr/>
        <w:tc>
          <w:tcPr>
            <w:tcW w:w="154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规则命令或要求道歉</w:t>
            </w:r>
          </w:p>
        </w:tc>
        <w:tc>
          <w:tcPr>
            <w:tcW w:w="1138"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14.8%</w:t>
            </w:r>
          </w:p>
        </w:tc>
        <w:tc>
          <w:tcPr>
            <w:tcW w:w="115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12.5%</w:t>
            </w:r>
          </w:p>
        </w:tc>
      </w:tr>
      <w:tr>
        <w:trPr/>
        <w:tc>
          <w:tcPr>
            <w:tcW w:w="1546" w:type="dxa"/>
            <w:tcBorders>
              <w:start w:val="single" w:sz="6" w:space="0" w:color="808080"/>
              <w:bottom w:val="single" w:sz="2" w:space="0" w:color="808080"/>
              <w:end w:val="single" w:sz="6" w:space="0" w:color="808080"/>
            </w:tcBorders>
            <w:vAlign w:val="center"/>
          </w:tcPr>
          <w:p>
            <w:pPr>
              <w:pStyle w:val="TableContents"/>
              <w:bidi w:val="0"/>
              <w:spacing w:before="0" w:after="283"/>
              <w:ind w:hanging="0" w:start="0" w:end="0"/>
              <w:rPr/>
            </w:pPr>
            <w:r>
              <w:rPr/>
              <w:t>调解并共同解决</w:t>
            </w:r>
          </w:p>
        </w:tc>
        <w:tc>
          <w:tcPr>
            <w:tcW w:w="1138" w:type="dxa"/>
            <w:tcBorders>
              <w:start w:val="single" w:sz="2" w:space="0" w:color="808080"/>
              <w:bottom w:val="single" w:sz="2" w:space="0" w:color="808080"/>
              <w:end w:val="single" w:sz="6" w:space="0" w:color="808080"/>
            </w:tcBorders>
            <w:vAlign w:val="center"/>
          </w:tcPr>
          <w:p>
            <w:pPr>
              <w:pStyle w:val="TableContents"/>
              <w:bidi w:val="0"/>
              <w:spacing w:before="0" w:after="283"/>
              <w:ind w:hanging="0" w:start="0" w:end="0"/>
              <w:jc w:val="end"/>
              <w:rPr/>
            </w:pPr>
            <w:r>
              <w:rPr/>
              <w:t>8.2%</w:t>
            </w:r>
          </w:p>
        </w:tc>
        <w:tc>
          <w:tcPr>
            <w:tcW w:w="1155" w:type="dxa"/>
            <w:tcBorders>
              <w:start w:val="single" w:sz="2" w:space="0" w:color="808080"/>
              <w:bottom w:val="single" w:sz="2" w:space="0" w:color="808080"/>
              <w:end w:val="single" w:sz="6" w:space="0" w:color="808080"/>
            </w:tcBorders>
            <w:vAlign w:val="center"/>
          </w:tcPr>
          <w:p>
            <w:pPr>
              <w:pStyle w:val="TableContents"/>
              <w:bidi w:val="0"/>
              <w:spacing w:before="0" w:after="283"/>
              <w:jc w:val="end"/>
              <w:rPr/>
            </w:pPr>
            <w:r>
              <w:rPr/>
              <w:t>31.3%</w:t>
            </w:r>
          </w:p>
        </w:tc>
      </w:tr>
      <w:tr>
        <w:trPr/>
        <w:tc>
          <w:tcPr>
            <w:tcW w:w="1546" w:type="dxa"/>
            <w:tcBorders>
              <w:start w:val="single" w:sz="6" w:space="0" w:color="808080"/>
              <w:bottom w:val="single" w:sz="6" w:space="0" w:color="808080"/>
              <w:end w:val="single" w:sz="6" w:space="0" w:color="808080"/>
            </w:tcBorders>
            <w:vAlign w:val="center"/>
          </w:tcPr>
          <w:p>
            <w:pPr>
              <w:pStyle w:val="TableContents"/>
              <w:bidi w:val="0"/>
              <w:spacing w:before="0" w:after="283"/>
              <w:ind w:hanging="0" w:start="0" w:end="0"/>
              <w:rPr/>
            </w:pPr>
            <w:r>
              <w:rPr/>
              <w:t>情绪回应后再处理</w:t>
            </w:r>
          </w:p>
        </w:tc>
        <w:tc>
          <w:tcPr>
            <w:tcW w:w="1138" w:type="dxa"/>
            <w:tcBorders>
              <w:start w:val="single" w:sz="2" w:space="0" w:color="808080"/>
              <w:bottom w:val="single" w:sz="6" w:space="0" w:color="808080"/>
              <w:end w:val="single" w:sz="6" w:space="0" w:color="808080"/>
            </w:tcBorders>
            <w:vAlign w:val="center"/>
          </w:tcPr>
          <w:p>
            <w:pPr>
              <w:pStyle w:val="TableContents"/>
              <w:bidi w:val="0"/>
              <w:spacing w:before="0" w:after="283"/>
              <w:ind w:hanging="0" w:start="0" w:end="0"/>
              <w:jc w:val="end"/>
              <w:rPr/>
            </w:pPr>
            <w:r>
              <w:rPr/>
              <w:t>4.9%</w:t>
            </w:r>
          </w:p>
        </w:tc>
        <w:tc>
          <w:tcPr>
            <w:tcW w:w="1155" w:type="dxa"/>
            <w:tcBorders>
              <w:start w:val="single" w:sz="2" w:space="0" w:color="808080"/>
              <w:bottom w:val="single" w:sz="6" w:space="0" w:color="808080"/>
              <w:end w:val="single" w:sz="6" w:space="0" w:color="808080"/>
            </w:tcBorders>
            <w:vAlign w:val="center"/>
          </w:tcPr>
          <w:p>
            <w:pPr>
              <w:pStyle w:val="TableContents"/>
              <w:bidi w:val="0"/>
              <w:spacing w:before="0" w:after="283"/>
              <w:jc w:val="end"/>
              <w:rPr/>
            </w:pPr>
            <w:r>
              <w:rPr/>
              <w:t>12.5%</w:t>
            </w:r>
          </w:p>
        </w:tc>
      </w:tr>
    </w:tbl>
    <w:p>
      <w:pPr>
        <w:pStyle w:val="BodyText"/>
        <w:bidi w:val="0"/>
        <w:rPr/>
      </w:pPr>
      <w:r>
        <w:rPr/>
        <w:t>安全制止比例下降不表示教师降低安全标准，而是高强度事件相对减少，且教师学会在制止后继续进行调解。教师访谈【示范表述】显示，其关注点由“赶快别哭”逐渐转向“孩子下一次能不能多做一步”。这与冲突教育干预能够促使教师反思儿童能力和自身角色的研究发现相呼应</w:t>
      </w:r>
      <w:r>
        <w:rPr/>
        <w:t>[15]</w:t>
      </w:r>
      <w:r>
        <w:rPr/>
        <w:t>。</w:t>
      </w:r>
    </w:p>
    <w:p>
      <w:pPr>
        <w:pStyle w:val="Heading3"/>
        <w:bidi w:val="0"/>
        <w:rPr/>
      </w:pPr>
      <w:r>
        <w:rPr/>
        <w:t xml:space="preserve">4.6.4 </w:t>
      </w:r>
      <w:r>
        <w:rPr/>
        <w:t>建设性解决与游戏恢复增加</w:t>
      </w:r>
    </w:p>
    <w:p>
      <w:pPr>
        <w:pStyle w:val="BodyText"/>
        <w:bidi w:val="0"/>
        <w:rPr/>
      </w:pPr>
      <w:r>
        <w:rPr/>
        <w:t>基线期，幼儿自主或在教师支架下形成建设性方案的事件共</w:t>
      </w:r>
      <w:r>
        <w:rPr/>
        <w:t>10</w:t>
      </w:r>
      <w:r>
        <w:rPr/>
        <w:t>起，占</w:t>
      </w:r>
      <w:r>
        <w:rPr/>
        <w:t>13.3%</w:t>
      </w:r>
      <w:r>
        <w:rPr/>
        <w:t>；第二轮行动期为</w:t>
      </w:r>
      <w:r>
        <w:rPr/>
        <w:t>20</w:t>
      </w:r>
      <w:r>
        <w:rPr/>
        <w:t>起，占</w:t>
      </w:r>
      <w:r>
        <w:rPr/>
        <w:t>51.3%</w:t>
      </w:r>
      <w:r>
        <w:rPr/>
        <w:t>。基线期较多事件以一方获得、成人直接安排或双方离开结束；行动后，轮流、交换、寻找同类材料和共同扩展游戏增多。建设性结果不仅是物品分配“公平”，还包括双方情绪能够恢复、游戏可以继续、关系未因成人惩罚而中断。</w:t>
      </w:r>
    </w:p>
    <w:p>
      <w:pPr>
        <w:pStyle w:val="BodyText"/>
        <w:bidi w:val="0"/>
        <w:rPr/>
      </w:pPr>
      <w:r>
        <w:rPr/>
        <w:t>需要看到，第二轮仍有胜—负结果和未解决事件。不是所有冲突都能形成双方同意的方案，也不应强迫持物幼儿为了“建设性”而让出物品。研究的进步标准是幼儿的需要被公平表达、边界受到保护，并逐渐积累多种可用策略，而不是每次都达成表面共享。</w:t>
      </w:r>
    </w:p>
    <w:p>
      <w:pPr>
        <w:pStyle w:val="Heading1"/>
        <w:bidi w:val="0"/>
        <w:rPr/>
      </w:pPr>
      <w:r>
        <w:rPr/>
        <w:t xml:space="preserve">5 </w:t>
      </w:r>
      <w:r>
        <w:rPr/>
        <w:t>结论与讨论</w:t>
      </w:r>
    </w:p>
    <w:p>
      <w:pPr>
        <w:pStyle w:val="Heading2"/>
        <w:bidi w:val="0"/>
        <w:rPr/>
      </w:pPr>
      <w:r>
        <w:rPr/>
        <w:t xml:space="preserve">5.1 </w:t>
      </w:r>
      <w:r>
        <w:rPr/>
        <w:t>主要研究结论</w:t>
      </w:r>
    </w:p>
    <w:p>
      <w:pPr>
        <w:pStyle w:val="BodyText"/>
        <w:bidi w:val="0"/>
        <w:rPr/>
      </w:pPr>
      <w:r>
        <w:rPr/>
        <w:t>第一，托班争抢行为具有明显的情境性。自由游戏和过渡环节发生较多，稀缺或高吸引力材料、狭窄空间和不可见的等待时间是重要诱因。争抢既与幼儿语言、自控和观点采择能力尚在发展有关，也受到材料、空间、流程和成人回应方式影响，不能只归因于幼儿个性或家庭教养。</w:t>
      </w:r>
    </w:p>
    <w:p>
      <w:pPr>
        <w:pStyle w:val="BodyText"/>
        <w:bidi w:val="0"/>
        <w:rPr/>
      </w:pPr>
      <w:r>
        <w:rPr/>
        <w:t>第二，托班幼儿在争抢中较多使用直接拿取、拉扯、护物和哭喊，能主动使用协商策略的比例较低。这符合低龄幼儿行动表达占优势的发展特点。教师的任务不是要求幼儿突然达到成人式谈判，而是从其已有动作、单词和手势出发，帮助其逐渐形成“表达—倾听—选择—尝试”的简单脚本。</w:t>
      </w:r>
    </w:p>
    <w:p>
      <w:pPr>
        <w:pStyle w:val="BodyText"/>
        <w:bidi w:val="0"/>
        <w:rPr/>
      </w:pPr>
      <w:r>
        <w:rPr/>
        <w:t>第三，基线期教师介入以直接裁决、安全制止和替代转移为主。这些策略具有即时管理作用，但若缺少后续情绪回应与共同解决，幼儿获得的可迁移经验有限。教师支持的关键不是简单增加或减少介入，而是根据危险程度、情绪强度、能力差异和求助情况选择适宜层级。</w:t>
      </w:r>
    </w:p>
    <w:p>
      <w:pPr>
        <w:pStyle w:val="BodyText"/>
        <w:bidi w:val="0"/>
        <w:rPr/>
      </w:pPr>
      <w:r>
        <w:rPr/>
        <w:t>第四，【待真实数据验证】两轮行动后，示范统计呈现单位时间争抢减少、直接动作下降、表达与协商增加、教师调解性支持增加的趋势。环境调整降低了不必要诱因，简短语言支架和可视化工具则帮助幼儿参与解决。二者缺一不可：只有环境调整，幼儿难以处理不可避免的社会冲突；只有语言说教而不改变拥挤和稀缺，教师支持也难以持续。</w:t>
      </w:r>
    </w:p>
    <w:p>
      <w:pPr>
        <w:pStyle w:val="Heading2"/>
        <w:bidi w:val="0"/>
        <w:rPr/>
      </w:pPr>
      <w:r>
        <w:rPr/>
        <w:t xml:space="preserve">5.2 </w:t>
      </w:r>
      <w:r>
        <w:rPr/>
        <w:t>讨论</w:t>
      </w:r>
    </w:p>
    <w:p>
      <w:pPr>
        <w:pStyle w:val="Heading3"/>
        <w:bidi w:val="0"/>
        <w:rPr/>
      </w:pPr>
      <w:r>
        <w:rPr/>
        <w:t xml:space="preserve">5.2.1 </w:t>
      </w:r>
      <w:r>
        <w:rPr/>
        <w:t>争抢是需要边界的学习机会</w:t>
      </w:r>
    </w:p>
    <w:p>
      <w:pPr>
        <w:pStyle w:val="BodyText"/>
        <w:bidi w:val="0"/>
        <w:rPr/>
      </w:pPr>
      <w:r>
        <w:rPr/>
        <w:t>早期冲突具有互动和沟通性质</w:t>
      </w:r>
      <w:r>
        <w:rPr/>
        <w:t>[5]</w:t>
      </w:r>
      <w:r>
        <w:rPr/>
        <w:t>。如果把每一次争抢都当作需要清除的问题，幼儿会失去表达不同目标、体验拒绝、理解轮流和修复关系的机会；但如果浪漫化冲突而忽视伤害风险，同样不符合托班保育要求。教育性的处理应同时维护三个边界：身体安全的边界、幼儿正在使用物品的合理边界、双方表达需要的权利边界。</w:t>
      </w:r>
    </w:p>
    <w:p>
      <w:pPr>
        <w:pStyle w:val="Heading3"/>
        <w:bidi w:val="0"/>
        <w:rPr/>
      </w:pPr>
      <w:r>
        <w:rPr/>
        <w:t>5.2.2 “</w:t>
      </w:r>
      <w:r>
        <w:rPr/>
        <w:t>分享”不应等同于强制让出</w:t>
      </w:r>
    </w:p>
    <w:p>
      <w:pPr>
        <w:pStyle w:val="BodyText"/>
        <w:bidi w:val="0"/>
        <w:rPr/>
      </w:pPr>
      <w:r>
        <w:rPr/>
        <w:t>托班教育中常用“要学会分享”结束争议，但成人强迫持物者立即让出，会使幼儿难以建立稳定的所有与使用概念，也可能让“分享”带有被剥夺体验。更适合的路径是先承认正在使用，再帮助后来者请求加入、等待轮流或寻找替代。只有当幼儿的拒绝也受到尊重，自愿分享与共同游戏才可能逐渐形成。</w:t>
      </w:r>
    </w:p>
    <w:p>
      <w:pPr>
        <w:pStyle w:val="Heading3"/>
        <w:bidi w:val="0"/>
        <w:rPr/>
      </w:pPr>
      <w:r>
        <w:rPr/>
        <w:t xml:space="preserve">5.2.3 </w:t>
      </w:r>
      <w:r>
        <w:rPr/>
        <w:t>有效介入是动态撤除的支架</w:t>
      </w:r>
    </w:p>
    <w:p>
      <w:pPr>
        <w:pStyle w:val="BodyText"/>
        <w:bidi w:val="0"/>
        <w:rPr/>
      </w:pPr>
      <w:r>
        <w:rPr/>
        <w:t>研究不支持“所有冲突都等孩子自己解决”，也不支持“教师必须立即给答案”。调解性介入之所以有价值，在于教师暂时承担幼儿尚不能完成的部分：稳定身体、翻译意图、缩小选择范围、使时间可见、帮助执行。随着幼儿能力提高，教师应从完整示范转为一句提示、一个眼神，最后退到观察位置。能否适时撤除，是支持区别于控制的重要标志。</w:t>
      </w:r>
    </w:p>
    <w:p>
      <w:pPr>
        <w:pStyle w:val="Heading3"/>
        <w:bidi w:val="0"/>
        <w:rPr/>
      </w:pPr>
      <w:r>
        <w:rPr/>
        <w:t xml:space="preserve">5.2.4 </w:t>
      </w:r>
      <w:r>
        <w:rPr/>
        <w:t>教师改变需要班级条件支持</w:t>
      </w:r>
    </w:p>
    <w:p>
      <w:pPr>
        <w:pStyle w:val="BodyText"/>
        <w:bidi w:val="0"/>
        <w:rPr/>
      </w:pPr>
      <w:r>
        <w:rPr/>
        <w:t>要求教师耐心调解，却不考虑师幼比、生活护理和过渡安排，容易把系统问题变成个人责任。园所应为教师提供共同备课和事件复盘时间，允许根据观察调整材料预算和空间，形成一致的安全与介入标准。教师也需要可执行的短句和工具，而不是只有“尊重儿童”“培养分享”等宏观要求。</w:t>
      </w:r>
    </w:p>
    <w:p>
      <w:pPr>
        <w:pStyle w:val="Heading2"/>
        <w:bidi w:val="0"/>
        <w:rPr/>
      </w:pPr>
      <w:r>
        <w:rPr/>
        <w:t xml:space="preserve">5.3 </w:t>
      </w:r>
      <w:r>
        <w:rPr/>
        <w:t>教师教育支持建议</w:t>
      </w:r>
    </w:p>
    <w:p>
      <w:pPr>
        <w:pStyle w:val="BodyText"/>
        <w:bidi w:val="0"/>
        <w:rPr/>
      </w:pPr>
      <w:r>
        <w:rPr/>
        <w:t>一是建立持续观察机制。教师每周抽取若干完整事件记录先行条件、双方行为与后果，关注“行为在什么条件下发生”，避免固定评价某名幼儿“总爱抢”。对高频个案要比较其在不同同伴、时段和材料中的表现。</w:t>
      </w:r>
    </w:p>
    <w:p>
      <w:pPr>
        <w:pStyle w:val="BodyText"/>
        <w:bidi w:val="0"/>
        <w:rPr/>
      </w:pPr>
      <w:r>
        <w:rPr/>
        <w:t>二是优先改造可预防诱因。按争抢频率而非成人偏好配置材料，改善拥挤动线，缩短无意义等待，给未完成游戏提供保留方式。环境改变后仍保留适量真实轮流机会，让幼儿在可承受难度中学习。</w:t>
      </w:r>
    </w:p>
    <w:p>
      <w:pPr>
        <w:pStyle w:val="BodyText"/>
        <w:bidi w:val="0"/>
        <w:rPr/>
      </w:pPr>
      <w:r>
        <w:rPr/>
        <w:t>三是统一简短、积极的现场语言。先说“手停”，再描述“你还想玩、他也想要”，然后给出两项方案并帮助执行。少用“你怎么又抢”“大的要让小的”“不分享就不给玩”等标签化或威胁性语言。</w:t>
      </w:r>
    </w:p>
    <w:p>
      <w:pPr>
        <w:pStyle w:val="BodyText"/>
        <w:bidi w:val="0"/>
        <w:rPr/>
      </w:pPr>
      <w:r>
        <w:rPr/>
        <w:t>四是实行分层介入。安全风险高时立即保护；风险低而幼儿有能力时适当等待；能力不足或冲突僵持时使用支架。教师介入后要观察双方是否恢复，而不是以停止哭闹作为唯一结束标准。</w:t>
      </w:r>
    </w:p>
    <w:p>
      <w:pPr>
        <w:pStyle w:val="BodyText"/>
        <w:bidi w:val="0"/>
        <w:rPr/>
      </w:pPr>
      <w:r>
        <w:rPr/>
        <w:t>五是把社会性学习嵌入一日生活。通过短小的玩偶故事、轮流游戏、合作任务和真实事件复盘，让幼儿反复练习简单表达。对幼儿的具体进步及时反馈，帮助其把成功经验迁移到新情境。</w:t>
      </w:r>
    </w:p>
    <w:p>
      <w:pPr>
        <w:pStyle w:val="BodyText"/>
        <w:bidi w:val="0"/>
        <w:rPr/>
      </w:pPr>
      <w:r>
        <w:rPr/>
        <w:t>六是形成尊重儿童边界的家园共育。与家长共享班级用语和处理原则，既不强迫分享，也不鼓励抢回；用客观过程代替“欺负人”“太霸道”等标签。涉及持续高风险行为时，依据连续记录共同制定支持方案。</w:t>
      </w:r>
    </w:p>
    <w:p>
      <w:pPr>
        <w:pStyle w:val="Heading2"/>
        <w:bidi w:val="0"/>
        <w:rPr/>
      </w:pPr>
      <w:r>
        <w:rPr/>
        <w:t xml:space="preserve">5.4 </w:t>
      </w:r>
      <w:r>
        <w:rPr/>
        <w:t>研究不足与展望</w:t>
      </w:r>
    </w:p>
    <w:p>
      <w:pPr>
        <w:pStyle w:val="BodyText"/>
        <w:bidi w:val="0"/>
        <w:rPr/>
      </w:pPr>
      <w:r>
        <w:rPr/>
        <w:t>本研究设计以单个班级为场域，样本量小，教师风格、班级材料和园所文化都可能影响结果，不能直接推广到所有托班。行动研究由参与者共同实施，观察者效应和教师期待可能使行为发生变化。争抢事件在不同日期并非完全同质，仅以频数和比例比较也不足以反映关系质量。正式研究还应报告幼儿出勤和观察覆盖情况，尽可能安排双人编码，并保留反例。</w:t>
      </w:r>
    </w:p>
    <w:p>
      <w:pPr>
        <w:pStyle w:val="BodyText"/>
        <w:bidi w:val="0"/>
        <w:rPr/>
      </w:pPr>
      <w:r>
        <w:rPr/>
        <w:t>研究周期内幼儿自身也在成长，策略效果与自然成熟难以完全分离。未来可延长追踪时间，比较不同班级或采用交错实施设计；除统计事件数外，还可分析事件持续时间、情绪强度、同伴熟悉度、游戏恢复和特定幼儿的变化轨迹。进一步研究还应关注语言发展较慢、感觉调节需要较高或长期处于弱势位置的幼儿，探索图片沟通、同伴示范和个别化支持的适用条件。</w:t>
      </w:r>
    </w:p>
    <w:p>
      <w:pPr>
        <w:pStyle w:val="BodyText"/>
        <w:bidi w:val="0"/>
        <w:rPr/>
      </w:pPr>
      <w:r>
        <w:rPr/>
        <w:t>总之，托班争抢行为既需要明确的安全边界，也蕴含早期社会学习的可能。教师通过看见需要、调整环境、提供恰当支架并逐步退出，可以帮助幼儿从“用手得到”走向“用表达参与”，从成人裁决走向在支持下共同解决。研究最终追求的不是一个从不发生冲突的班级，而是一个幼儿能够安全表达差异、获得公平回应并逐渐学会与他人共同生活的班级。</w:t>
      </w:r>
    </w:p>
    <w:p>
      <w:pPr>
        <w:pStyle w:val="Heading1"/>
        <w:bidi w:val="0"/>
        <w:rPr/>
      </w:pPr>
      <w:r>
        <w:rPr/>
        <w:t>参考文献</w:t>
      </w:r>
    </w:p>
    <w:p>
      <w:pPr>
        <w:pStyle w:val="BodyText"/>
        <w:bidi w:val="0"/>
        <w:rPr/>
      </w:pPr>
      <w:r>
        <w:rPr/>
        <w:t xml:space="preserve">[1] </w:t>
      </w:r>
      <w:r>
        <w:rPr/>
        <w:t>国务院办公厅</w:t>
      </w:r>
      <w:r>
        <w:rPr/>
        <w:t xml:space="preserve">. </w:t>
      </w:r>
      <w:r>
        <w:rPr/>
        <w:t>国务院办公厅关于促进</w:t>
      </w:r>
      <w:r>
        <w:rPr/>
        <w:t>3</w:t>
      </w:r>
      <w:r>
        <w:rPr/>
        <w:t>岁以下婴幼儿照护服务发展的指导意见</w:t>
      </w:r>
      <w:r>
        <w:rPr/>
        <w:t>[EB/OL]. (2019-05-09)[2026-08-14]. https://app.www.gov.cn/govdata/gov/201905/09/439639/article.html.</w:t>
      </w:r>
    </w:p>
    <w:p>
      <w:pPr>
        <w:pStyle w:val="BodyText"/>
        <w:bidi w:val="0"/>
        <w:rPr/>
      </w:pPr>
      <w:r>
        <w:rPr/>
        <w:t xml:space="preserve">[2] </w:t>
      </w:r>
      <w:r>
        <w:rPr/>
        <w:t>国家卫生健康委员会</w:t>
      </w:r>
      <w:r>
        <w:rPr/>
        <w:t xml:space="preserve">. </w:t>
      </w:r>
      <w:r>
        <w:rPr/>
        <w:t>托育机构保育指导大纲（试行）</w:t>
      </w:r>
      <w:r>
        <w:rPr/>
        <w:t>[EB/OL]. (2021-01-12)[2026-08-14]. https://www.nhc.gov.cn/rkjcyjtfzs/c100147/202101/28ad10c0d35c49d288a5a1567ca1d74e.shtml.</w:t>
      </w:r>
    </w:p>
    <w:p>
      <w:pPr>
        <w:pStyle w:val="BodyText"/>
        <w:bidi w:val="0"/>
        <w:rPr/>
      </w:pPr>
      <w:r>
        <w:rPr/>
        <w:t xml:space="preserve">[3] </w:t>
      </w:r>
      <w:r>
        <w:rPr/>
        <w:t>教育部</w:t>
      </w:r>
      <w:r>
        <w:rPr/>
        <w:t xml:space="preserve">. </w:t>
      </w:r>
      <w:r>
        <w:rPr/>
        <w:t>幼儿园教育指导纲要（试行）</w:t>
      </w:r>
      <w:r>
        <w:rPr/>
        <w:t>[EB/OL]. (2001-07-02)[2026-08-14]. https://www.moe.gov.cn/srcsite/A06/s3327/200107/t20010702_81984.html.</w:t>
      </w:r>
    </w:p>
    <w:p>
      <w:pPr>
        <w:pStyle w:val="BodyText"/>
        <w:bidi w:val="0"/>
        <w:rPr/>
      </w:pPr>
      <w:r>
        <w:rPr/>
        <w:t>[4] PARTEN M B. Social participation among pre-school children[J]. The Journal of Abnormal and Social Psychology, 1932, 27(3): 243-269. DOI:10.1037/h0074524.</w:t>
      </w:r>
    </w:p>
    <w:p>
      <w:pPr>
        <w:pStyle w:val="BodyText"/>
        <w:bidi w:val="0"/>
        <w:rPr/>
      </w:pPr>
      <w:r>
        <w:rPr/>
        <w:t>[5] HAY D F, ROSS H S. The social nature of early conflict[J]. Child Development, 1982, 53(1): 105-113. DOI:10.2307/1129642.</w:t>
      </w:r>
    </w:p>
    <w:p>
      <w:pPr>
        <w:pStyle w:val="BodyText"/>
        <w:bidi w:val="0"/>
        <w:rPr/>
      </w:pPr>
      <w:r>
        <w:rPr/>
        <w:t>[6] ASHBY N, NEILSEN-HEWETT C. Approaches to conflict and conflict resolution in toddler relationships[J]. Journal of Early Childhood Research, 2012, 10(2): 145-161. DOI:10.1177/1476718X11430070.</w:t>
      </w:r>
    </w:p>
    <w:p>
      <w:pPr>
        <w:pStyle w:val="BodyText"/>
        <w:bidi w:val="0"/>
        <w:rPr/>
      </w:pPr>
      <w:r>
        <w:rPr/>
        <w:t xml:space="preserve">[7] </w:t>
      </w:r>
      <w:r>
        <w:rPr/>
        <w:t>张芳芳</w:t>
      </w:r>
      <w:r>
        <w:rPr/>
        <w:t xml:space="preserve">, </w:t>
      </w:r>
      <w:r>
        <w:rPr/>
        <w:t>刘格格</w:t>
      </w:r>
      <w:r>
        <w:rPr/>
        <w:t xml:space="preserve">. </w:t>
      </w:r>
      <w:r>
        <w:rPr/>
        <w:t>幼儿同伴冲突解决策略的现状研究</w:t>
      </w:r>
      <w:r>
        <w:rPr/>
        <w:t xml:space="preserve">[J]. </w:t>
      </w:r>
      <w:r>
        <w:rPr/>
        <w:t>忻州师范学院学报</w:t>
      </w:r>
      <w:r>
        <w:rPr/>
        <w:t>, 2021, 37(2): 90-95.</w:t>
      </w:r>
    </w:p>
    <w:p>
      <w:pPr>
        <w:pStyle w:val="BodyText"/>
        <w:bidi w:val="0"/>
        <w:rPr/>
      </w:pPr>
      <w:r>
        <w:rPr/>
        <w:t xml:space="preserve">[8] </w:t>
      </w:r>
      <w:r>
        <w:rPr/>
        <w:t>张凤</w:t>
      </w:r>
      <w:r>
        <w:rPr/>
        <w:t xml:space="preserve">, </w:t>
      </w:r>
      <w:r>
        <w:rPr/>
        <w:t>冯晓霞</w:t>
      </w:r>
      <w:r>
        <w:rPr/>
        <w:t xml:space="preserve">. </w:t>
      </w:r>
      <w:r>
        <w:rPr/>
        <w:t>儿童同伴冲突解决策略与其心理理论发展的关系</w:t>
      </w:r>
      <w:r>
        <w:rPr/>
        <w:t xml:space="preserve">[J]. </w:t>
      </w:r>
      <w:r>
        <w:rPr/>
        <w:t>学前教育研究</w:t>
      </w:r>
      <w:r>
        <w:rPr/>
        <w:t>, 2011(4): 32-40.</w:t>
      </w:r>
    </w:p>
    <w:p>
      <w:pPr>
        <w:pStyle w:val="BodyText"/>
        <w:bidi w:val="0"/>
        <w:rPr/>
      </w:pPr>
      <w:r>
        <w:rPr/>
        <w:t xml:space="preserve">[9] </w:t>
      </w:r>
      <w:r>
        <w:rPr/>
        <w:t>向海英</w:t>
      </w:r>
      <w:r>
        <w:rPr/>
        <w:t xml:space="preserve">, </w:t>
      </w:r>
      <w:r>
        <w:rPr/>
        <w:t>孙文杰</w:t>
      </w:r>
      <w:r>
        <w:rPr/>
        <w:t xml:space="preserve">. </w:t>
      </w:r>
      <w:r>
        <w:rPr/>
        <w:t>中班幼儿同伴冲突应对策略及教师干预态度</w:t>
      </w:r>
      <w:r>
        <w:rPr/>
        <w:t xml:space="preserve">[J]. </w:t>
      </w:r>
      <w:r>
        <w:rPr/>
        <w:t>学前教育研究</w:t>
      </w:r>
      <w:r>
        <w:rPr/>
        <w:t>, 2014(10): 52-57.</w:t>
      </w:r>
    </w:p>
    <w:p>
      <w:pPr>
        <w:pStyle w:val="BodyText"/>
        <w:bidi w:val="0"/>
        <w:rPr/>
      </w:pPr>
      <w:r>
        <w:rPr/>
        <w:t>[10] HONGO K, SUGIYAMA H, TAMAI M. Effects of teachers' interventions on the conflicts between young children: On the object conflicts during the second year of life in a nursery school[J]. The Japanese Journal of Developmental Psychology, 1991, 1(2): 107-115. DOI:10.11201/jjdp.1.107.</w:t>
      </w:r>
    </w:p>
    <w:p>
      <w:pPr>
        <w:pStyle w:val="BodyText"/>
        <w:bidi w:val="0"/>
        <w:rPr/>
      </w:pPr>
      <w:r>
        <w:rPr/>
        <w:t>[11] GLOECKLER L, CASSELL J. Teacher practices with toddlers during social problem solving opportunities[J]. Early Childhood Education Journal, 2012, 40(4): 251-257. DOI:10.1007/s10643-011-0495-4.</w:t>
      </w:r>
    </w:p>
    <w:p>
      <w:pPr>
        <w:pStyle w:val="BodyText"/>
        <w:bidi w:val="0"/>
        <w:rPr/>
      </w:pPr>
      <w:r>
        <w:rPr/>
        <w:t>[12] BAYER C L, WHALEY K L, MAY S E. Strategic assistance in toddler disputes: II. Sequences and patterns of teachers' message strategies[J]. Early Education and Development, 1995, 6(4): 405-432. DOI:10.1207/s15566935eed0604_7.</w:t>
      </w:r>
    </w:p>
    <w:p>
      <w:pPr>
        <w:pStyle w:val="BodyText"/>
        <w:bidi w:val="0"/>
        <w:rPr/>
      </w:pPr>
      <w:r>
        <w:rPr/>
        <w:t>[13] MYRTIL M J, LIN T J, CHEN J, et al. Pros and (con)flict: Using head-mounted cameras to identify teachers' roles in intervening in conflict among preschool children[J]. Early Childhood Research Quarterly, 2021, 55: 230-241. DOI:10.1016/j.ecresq.2020.11.011.</w:t>
      </w:r>
    </w:p>
    <w:p>
      <w:pPr>
        <w:pStyle w:val="BodyText"/>
        <w:bidi w:val="0"/>
        <w:rPr/>
      </w:pPr>
      <w:r>
        <w:rPr/>
        <w:t>[14] ROSETH C J, PELLEGRINI A D, DUPUIS D N, et al. Teacher intervention and U.S. preschoolers' natural conflict resolution after aggressive competition[J]. Behaviour, 2008, 145(11): 1601-1626. DOI:10.1163/156853908786131333.</w:t>
      </w:r>
    </w:p>
    <w:p>
      <w:pPr>
        <w:pStyle w:val="BodyText"/>
        <w:bidi w:val="0"/>
        <w:rPr/>
      </w:pPr>
      <w:r>
        <w:rPr/>
        <w:t>[15] DOPPLER-BOURASSA E, HARKINS D A, MEHTA C M. Emerging empowerment: Conflict resolution intervention and preschool teachers' reports of conflict behavior[J]. Early Education and Development, 2008, 19(6): 885-906. DOI:10.1080/10409280802516058.</w:t>
      </w:r>
    </w:p>
    <w:p>
      <w:pPr>
        <w:pStyle w:val="Heading1"/>
        <w:bidi w:val="0"/>
        <w:rPr/>
      </w:pPr>
      <w:r>
        <w:rPr/>
        <w:t>附录</w:t>
      </w:r>
    </w:p>
    <w:p>
      <w:pPr>
        <w:pStyle w:val="Heading2"/>
        <w:bidi w:val="0"/>
        <w:rPr/>
      </w:pPr>
      <w:r>
        <w:rPr/>
        <w:t>附录</w:t>
      </w:r>
      <w:r>
        <w:rPr/>
        <w:t xml:space="preserve">A </w:t>
      </w:r>
      <w:r>
        <w:rPr/>
        <w:t>托班幼儿争抢事件观察记录表</w:t>
      </w:r>
    </w:p>
    <w:tbl>
      <w:tblPr>
        <w:tblW w:w="5000" w:type="pct"/>
        <w:jc w:val="start"/>
        <w:tblInd w:w="-7" w:type="dxa"/>
        <w:tblLayout w:type="fixed"/>
        <w:tblCellMar>
          <w:top w:w="75" w:type="dxa"/>
          <w:start w:w="75" w:type="dxa"/>
          <w:bottom w:w="75" w:type="dxa"/>
          <w:end w:w="75" w:type="dxa"/>
        </w:tblCellMar>
      </w:tblPr>
      <w:tblGrid>
        <w:gridCol w:w="1019"/>
        <w:gridCol w:w="2820"/>
      </w:tblGrid>
      <w:tr>
        <w:trPr>
          <w:tblHeader w:val="true"/>
        </w:trPr>
        <w:tc>
          <w:tcPr>
            <w:tcW w:w="1019"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项目</w:t>
            </w:r>
          </w:p>
        </w:tc>
        <w:tc>
          <w:tcPr>
            <w:tcW w:w="282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记录内容</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事件编号</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日期、起止时间</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活动环节、地点</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在场幼儿代号</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争抢目标</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w:t>
            </w:r>
            <w:r>
              <w:rPr/>
              <w:t>材料 □空间 □轮次 □教师关注 □角色</w:t>
            </w:r>
            <w:r>
              <w:rPr/>
              <w:t>/</w:t>
            </w:r>
            <w:r>
              <w:rPr/>
              <w:t>规则 □其他</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事件发生前</w:t>
            </w:r>
            <w:r>
              <w:rPr/>
              <w:t>30</w:t>
            </w:r>
            <w:r>
              <w:rPr/>
              <w:t>秒</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谁在做什么？材料、空间和成人位置如何？</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幼儿</w:t>
            </w:r>
            <w:r>
              <w:rPr/>
              <w:t>A</w:t>
            </w:r>
            <w:r>
              <w:rPr/>
              <w:t>动作与原话</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幼儿</w:t>
            </w:r>
            <w:r>
              <w:rPr/>
              <w:t>B</w:t>
            </w:r>
            <w:r>
              <w:rPr/>
              <w:t>动作与原话</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是否有身体风险</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w:t>
            </w:r>
            <w:r>
              <w:rPr/>
              <w:t>无 □低 □高；具体表现：</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教师注意时点</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w:t>
            </w:r>
            <w:r>
              <w:rPr/>
              <w:t>发生前 □开始后</w:t>
            </w:r>
            <w:r>
              <w:rPr/>
              <w:t>0—5</w:t>
            </w:r>
            <w:r>
              <w:rPr/>
              <w:t>秒 □</w:t>
            </w:r>
            <w:r>
              <w:rPr/>
              <w:t>5</w:t>
            </w:r>
            <w:r>
              <w:rPr/>
              <w:t>秒后 □未注意</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教师动作与原话</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按发生顺序逐句记录，不先作评价</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解决方案</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w:t>
            </w:r>
            <w:r>
              <w:rPr/>
              <w:t>一方获得 □成人安排 □轮流 □交换 □共玩 □离开 □未解决 □其他</w:t>
            </w:r>
          </w:p>
        </w:tc>
      </w:tr>
      <w:tr>
        <w:trPr/>
        <w:tc>
          <w:tcPr>
            <w:tcW w:w="101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事件后</w:t>
            </w:r>
            <w:r>
              <w:rPr/>
              <w:t>1</w:t>
            </w:r>
            <w:r>
              <w:rPr/>
              <w:t>分钟</w:t>
            </w:r>
          </w:p>
        </w:tc>
        <w:tc>
          <w:tcPr>
            <w:tcW w:w="2820" w:type="dxa"/>
            <w:tcBorders>
              <w:start w:val="single" w:sz="2" w:space="0" w:color="808080"/>
              <w:bottom w:val="single" w:sz="2" w:space="0" w:color="808080"/>
              <w:end w:val="single" w:sz="6" w:space="0" w:color="808080"/>
            </w:tcBorders>
            <w:vAlign w:val="center"/>
          </w:tcPr>
          <w:p>
            <w:pPr>
              <w:pStyle w:val="TableContents"/>
              <w:bidi w:val="0"/>
              <w:spacing w:before="0" w:after="283"/>
              <w:rPr/>
            </w:pPr>
            <w:r>
              <w:rPr/>
              <w:t>双方情绪、游戏是否恢复、是否再次争抢</w:t>
            </w:r>
          </w:p>
        </w:tc>
      </w:tr>
      <w:tr>
        <w:trPr/>
        <w:tc>
          <w:tcPr>
            <w:tcW w:w="1019" w:type="dxa"/>
            <w:tcBorders>
              <w:start w:val="single" w:sz="6" w:space="0" w:color="808080"/>
              <w:bottom w:val="single" w:sz="6" w:space="0" w:color="808080"/>
              <w:end w:val="single" w:sz="6" w:space="0" w:color="808080"/>
            </w:tcBorders>
            <w:vAlign w:val="center"/>
          </w:tcPr>
          <w:p>
            <w:pPr>
              <w:pStyle w:val="TableContents"/>
              <w:bidi w:val="0"/>
              <w:spacing w:before="0" w:after="283"/>
              <w:rPr/>
            </w:pPr>
            <w:r>
              <w:rPr/>
              <w:t>初步分析</w:t>
            </w:r>
          </w:p>
        </w:tc>
        <w:tc>
          <w:tcPr>
            <w:tcW w:w="2820" w:type="dxa"/>
            <w:tcBorders>
              <w:start w:val="single" w:sz="2" w:space="0" w:color="808080"/>
              <w:bottom w:val="single" w:sz="6" w:space="0" w:color="808080"/>
              <w:end w:val="single" w:sz="6" w:space="0" w:color="808080"/>
            </w:tcBorders>
            <w:vAlign w:val="center"/>
          </w:tcPr>
          <w:p>
            <w:pPr>
              <w:pStyle w:val="TableContents"/>
              <w:bidi w:val="0"/>
              <w:spacing w:before="0" w:after="283"/>
              <w:rPr/>
            </w:pPr>
            <w:r>
              <w:rPr/>
              <w:t>可能诱因、支架是否适宜、下次可如何调整</w:t>
            </w:r>
          </w:p>
        </w:tc>
      </w:tr>
    </w:tbl>
    <w:p>
      <w:pPr>
        <w:pStyle w:val="Heading2"/>
        <w:bidi w:val="0"/>
        <w:rPr/>
      </w:pPr>
      <w:r>
        <w:rPr/>
        <w:t>附录</w:t>
      </w:r>
      <w:r>
        <w:rPr/>
        <w:t xml:space="preserve">B </w:t>
      </w:r>
      <w:r>
        <w:rPr/>
        <w:t>争抢事件编码简表</w:t>
      </w:r>
    </w:p>
    <w:p>
      <w:pPr>
        <w:pStyle w:val="BodyText"/>
        <w:numPr>
          <w:ilvl w:val="0"/>
          <w:numId w:val="1"/>
        </w:numPr>
        <w:tabs>
          <w:tab w:val="clear" w:pos="1134"/>
          <w:tab w:val="left" w:pos="709" w:leader="none"/>
        </w:tabs>
        <w:bidi w:val="0"/>
        <w:ind w:hanging="283" w:start="709"/>
        <w:rPr/>
      </w:pPr>
      <w:r>
        <w:rPr/>
        <w:t>事件纳入标准：一方试图取得或控制目标，另一方有明确抵抗。只有拿取、无人反对、偶然碰撞或共同追逐不纳入。</w:t>
      </w:r>
    </w:p>
    <w:p>
      <w:pPr>
        <w:pStyle w:val="BodyText"/>
        <w:numPr>
          <w:ilvl w:val="0"/>
          <w:numId w:val="1"/>
        </w:numPr>
        <w:tabs>
          <w:tab w:val="clear" w:pos="1134"/>
          <w:tab w:val="left" w:pos="709" w:leader="none"/>
        </w:tabs>
        <w:bidi w:val="0"/>
        <w:ind w:hanging="283" w:start="709"/>
        <w:rPr/>
      </w:pPr>
      <w:r>
        <w:rPr/>
        <w:t>事件结束标准：连续</w:t>
      </w:r>
      <w:r>
        <w:rPr/>
        <w:t>10</w:t>
      </w:r>
      <w:r>
        <w:rPr/>
        <w:t>秒无同目标对抗，双方接受方案，一方稳定离开，或活动转换。</w:t>
      </w:r>
    </w:p>
    <w:p>
      <w:pPr>
        <w:pStyle w:val="BodyText"/>
        <w:numPr>
          <w:ilvl w:val="0"/>
          <w:numId w:val="1"/>
        </w:numPr>
        <w:tabs>
          <w:tab w:val="clear" w:pos="1134"/>
          <w:tab w:val="left" w:pos="709" w:leader="none"/>
        </w:tabs>
        <w:bidi w:val="0"/>
        <w:ind w:hanging="283" w:start="709"/>
        <w:rPr/>
      </w:pPr>
      <w:r>
        <w:rPr/>
        <w:t>诱因代码：</w:t>
      </w:r>
      <w:r>
        <w:rPr/>
        <w:t>M</w:t>
      </w:r>
      <w:r>
        <w:rPr/>
        <w:t>材料；</w:t>
      </w:r>
      <w:r>
        <w:rPr/>
        <w:t>S</w:t>
      </w:r>
      <w:r>
        <w:rPr/>
        <w:t>空间；</w:t>
      </w:r>
      <w:r>
        <w:rPr/>
        <w:t>T</w:t>
      </w:r>
      <w:r>
        <w:rPr/>
        <w:t>轮次；</w:t>
      </w:r>
      <w:r>
        <w:rPr/>
        <w:t>A</w:t>
      </w:r>
      <w:r>
        <w:rPr/>
        <w:t>成人注意；</w:t>
      </w:r>
      <w:r>
        <w:rPr/>
        <w:t>R</w:t>
      </w:r>
      <w:r>
        <w:rPr/>
        <w:t>角色</w:t>
      </w:r>
      <w:r>
        <w:rPr/>
        <w:t>/</w:t>
      </w:r>
      <w:r>
        <w:rPr/>
        <w:t>规则；</w:t>
      </w:r>
      <w:r>
        <w:rPr/>
        <w:t>O</w:t>
      </w:r>
      <w:r>
        <w:rPr/>
        <w:t>其他。</w:t>
      </w:r>
    </w:p>
    <w:p>
      <w:pPr>
        <w:pStyle w:val="BodyText"/>
        <w:numPr>
          <w:ilvl w:val="0"/>
          <w:numId w:val="1"/>
        </w:numPr>
        <w:tabs>
          <w:tab w:val="clear" w:pos="1134"/>
          <w:tab w:val="left" w:pos="709" w:leader="none"/>
        </w:tabs>
        <w:bidi w:val="0"/>
        <w:ind w:hanging="283" w:start="709"/>
        <w:rPr/>
      </w:pPr>
      <w:r>
        <w:rPr/>
        <w:t>教师策略代码：</w:t>
      </w:r>
      <w:r>
        <w:rPr/>
        <w:t>W</w:t>
      </w:r>
      <w:r>
        <w:rPr/>
        <w:t>等待观察；</w:t>
      </w:r>
      <w:r>
        <w:rPr/>
        <w:t>P</w:t>
      </w:r>
      <w:r>
        <w:rPr/>
        <w:t>保护性制止；</w:t>
      </w:r>
      <w:r>
        <w:rPr/>
        <w:t>J</w:t>
      </w:r>
      <w:r>
        <w:rPr/>
        <w:t>直接裁决；</w:t>
      </w:r>
      <w:r>
        <w:rPr/>
        <w:t>D</w:t>
      </w:r>
      <w:r>
        <w:rPr/>
        <w:t>转移</w:t>
      </w:r>
      <w:r>
        <w:rPr/>
        <w:t>/</w:t>
      </w:r>
      <w:r>
        <w:rPr/>
        <w:t>替代；</w:t>
      </w:r>
      <w:r>
        <w:rPr/>
        <w:t>C</w:t>
      </w:r>
      <w:r>
        <w:rPr/>
        <w:t>命令规则；</w:t>
      </w:r>
      <w:r>
        <w:rPr/>
        <w:t>E</w:t>
      </w:r>
      <w:r>
        <w:rPr/>
        <w:t>情绪回应；</w:t>
      </w:r>
      <w:r>
        <w:rPr/>
        <w:t>M</w:t>
      </w:r>
      <w:r>
        <w:rPr/>
        <w:t>调解共决。</w:t>
      </w:r>
    </w:p>
    <w:p>
      <w:pPr>
        <w:pStyle w:val="BodyText"/>
        <w:numPr>
          <w:ilvl w:val="0"/>
          <w:numId w:val="1"/>
        </w:numPr>
        <w:tabs>
          <w:tab w:val="clear" w:pos="1134"/>
          <w:tab w:val="left" w:pos="709" w:leader="none"/>
        </w:tabs>
        <w:bidi w:val="0"/>
        <w:ind w:hanging="283" w:start="709"/>
        <w:rPr/>
      </w:pPr>
      <w:r>
        <w:rPr/>
        <w:t>结果代码：</w:t>
      </w:r>
      <w:r>
        <w:rPr/>
        <w:t>WL</w:t>
      </w:r>
      <w:r>
        <w:rPr/>
        <w:t>胜—负；</w:t>
      </w:r>
      <w:r>
        <w:rPr/>
        <w:t>AR</w:t>
      </w:r>
      <w:r>
        <w:rPr/>
        <w:t>成人安排；</w:t>
      </w:r>
      <w:r>
        <w:rPr/>
        <w:t>SC</w:t>
      </w:r>
      <w:r>
        <w:rPr/>
        <w:t>支架下建设性解决；</w:t>
      </w:r>
      <w:r>
        <w:rPr/>
        <w:t>AC</w:t>
      </w:r>
      <w:r>
        <w:rPr/>
        <w:t>自主建设性解决；</w:t>
      </w:r>
      <w:r>
        <w:rPr/>
        <w:t>UE</w:t>
      </w:r>
      <w:r>
        <w:rPr/>
        <w:t>未解决</w:t>
      </w:r>
      <w:r>
        <w:rPr/>
        <w:t>/</w:t>
      </w:r>
      <w:r>
        <w:rPr/>
        <w:t>升级。</w:t>
      </w:r>
    </w:p>
    <w:p>
      <w:pPr>
        <w:pStyle w:val="BodyText"/>
        <w:numPr>
          <w:ilvl w:val="0"/>
          <w:numId w:val="1"/>
        </w:numPr>
        <w:tabs>
          <w:tab w:val="clear" w:pos="1134"/>
          <w:tab w:val="left" w:pos="709" w:leader="none"/>
        </w:tabs>
        <w:bidi w:val="0"/>
        <w:ind w:hanging="283" w:start="709"/>
        <w:rPr/>
      </w:pPr>
      <w:r>
        <w:rPr/>
        <w:t>记录原则：优先记动作和原话，解释写在“初步分析”栏；同一事件可记录多项表现，统计主导策略时按对结果影响最大的策略编码。</w:t>
      </w:r>
    </w:p>
    <w:p>
      <w:pPr>
        <w:pStyle w:val="Heading2"/>
        <w:bidi w:val="0"/>
        <w:rPr/>
      </w:pPr>
      <w:r>
        <w:rPr/>
        <w:t>附录</w:t>
      </w:r>
      <w:r>
        <w:rPr/>
        <w:t xml:space="preserve">C </w:t>
      </w:r>
      <w:r>
        <w:rPr/>
        <w:t>教师半结构访谈提纲</w:t>
      </w:r>
    </w:p>
    <w:p>
      <w:pPr>
        <w:pStyle w:val="BodyText"/>
        <w:numPr>
          <w:ilvl w:val="0"/>
          <w:numId w:val="2"/>
        </w:numPr>
        <w:tabs>
          <w:tab w:val="clear" w:pos="1134"/>
          <w:tab w:val="left" w:pos="709" w:leader="none"/>
        </w:tabs>
        <w:bidi w:val="0"/>
        <w:ind w:hanging="283" w:start="709"/>
        <w:rPr/>
      </w:pPr>
      <w:r>
        <w:rPr/>
        <w:t>您如何理解托班幼儿的争抢行为？什么情况下属于正常冲突，什么情况下需要特别关注？</w:t>
      </w:r>
    </w:p>
    <w:p>
      <w:pPr>
        <w:pStyle w:val="BodyText"/>
        <w:numPr>
          <w:ilvl w:val="0"/>
          <w:numId w:val="2"/>
        </w:numPr>
        <w:tabs>
          <w:tab w:val="clear" w:pos="1134"/>
          <w:tab w:val="left" w:pos="709" w:leader="none"/>
        </w:tabs>
        <w:bidi w:val="0"/>
        <w:ind w:hanging="283" w:start="709"/>
        <w:rPr/>
      </w:pPr>
      <w:r>
        <w:rPr/>
        <w:t>哪些时段、区域和材料最容易发生争抢？您认为原因是什么？</w:t>
      </w:r>
    </w:p>
    <w:p>
      <w:pPr>
        <w:pStyle w:val="BodyText"/>
        <w:numPr>
          <w:ilvl w:val="0"/>
          <w:numId w:val="2"/>
        </w:numPr>
        <w:tabs>
          <w:tab w:val="clear" w:pos="1134"/>
          <w:tab w:val="left" w:pos="709" w:leader="none"/>
        </w:tabs>
        <w:bidi w:val="0"/>
        <w:ind w:hanging="283" w:start="709"/>
        <w:rPr/>
      </w:pPr>
      <w:r>
        <w:rPr/>
        <w:t>争抢发生后，您通常先看什么、做什么？哪些情况会立即介入，哪些情况会等待？</w:t>
      </w:r>
    </w:p>
    <w:p>
      <w:pPr>
        <w:pStyle w:val="BodyText"/>
        <w:numPr>
          <w:ilvl w:val="0"/>
          <w:numId w:val="2"/>
        </w:numPr>
        <w:tabs>
          <w:tab w:val="clear" w:pos="1134"/>
          <w:tab w:val="left" w:pos="709" w:leader="none"/>
        </w:tabs>
        <w:bidi w:val="0"/>
        <w:ind w:hanging="283" w:start="709"/>
        <w:rPr/>
      </w:pPr>
      <w:r>
        <w:rPr/>
        <w:t>您如何判断谁先使用、谁更需要帮助？没有看见事件开端时怎样处理？</w:t>
      </w:r>
    </w:p>
    <w:p>
      <w:pPr>
        <w:pStyle w:val="BodyText"/>
        <w:numPr>
          <w:ilvl w:val="0"/>
          <w:numId w:val="2"/>
        </w:numPr>
        <w:tabs>
          <w:tab w:val="clear" w:pos="1134"/>
          <w:tab w:val="left" w:pos="709" w:leader="none"/>
        </w:tabs>
        <w:bidi w:val="0"/>
        <w:ind w:hanging="283" w:start="709"/>
        <w:rPr/>
      </w:pPr>
      <w:r>
        <w:rPr/>
        <w:t>您常用哪些语言帮助幼儿表达、等待、轮流或共同游戏？哪种方法最难实施？</w:t>
      </w:r>
    </w:p>
    <w:p>
      <w:pPr>
        <w:pStyle w:val="BodyText"/>
        <w:numPr>
          <w:ilvl w:val="0"/>
          <w:numId w:val="2"/>
        </w:numPr>
        <w:tabs>
          <w:tab w:val="clear" w:pos="1134"/>
          <w:tab w:val="left" w:pos="709" w:leader="none"/>
        </w:tabs>
        <w:bidi w:val="0"/>
        <w:ind w:hanging="283" w:start="709"/>
        <w:rPr/>
      </w:pPr>
      <w:r>
        <w:rPr/>
        <w:t>您怎样理解“分享”？幼儿可否拒绝分享正在使用的物品？</w:t>
      </w:r>
    </w:p>
    <w:p>
      <w:pPr>
        <w:pStyle w:val="BodyText"/>
        <w:numPr>
          <w:ilvl w:val="0"/>
          <w:numId w:val="2"/>
        </w:numPr>
        <w:tabs>
          <w:tab w:val="clear" w:pos="1134"/>
          <w:tab w:val="left" w:pos="709" w:leader="none"/>
        </w:tabs>
        <w:bidi w:val="0"/>
        <w:ind w:hanging="283" w:start="709"/>
        <w:rPr/>
      </w:pPr>
      <w:r>
        <w:rPr/>
        <w:t>环境和流程调整后，争抢发生了哪些变化？是否出现新的问题？</w:t>
      </w:r>
    </w:p>
    <w:p>
      <w:pPr>
        <w:pStyle w:val="BodyText"/>
        <w:numPr>
          <w:ilvl w:val="0"/>
          <w:numId w:val="2"/>
        </w:numPr>
        <w:tabs>
          <w:tab w:val="clear" w:pos="1134"/>
          <w:tab w:val="left" w:pos="709" w:leader="none"/>
        </w:tabs>
        <w:bidi w:val="0"/>
        <w:ind w:hanging="283" w:start="709"/>
        <w:rPr/>
      </w:pPr>
      <w:r>
        <w:rPr/>
        <w:t>行动实施前后，您的介入时机和语言有何变化？请举一个成功和一个未成功的事件。</w:t>
      </w:r>
    </w:p>
    <w:p>
      <w:pPr>
        <w:pStyle w:val="BodyText"/>
        <w:numPr>
          <w:ilvl w:val="0"/>
          <w:numId w:val="2"/>
        </w:numPr>
        <w:tabs>
          <w:tab w:val="clear" w:pos="1134"/>
          <w:tab w:val="left" w:pos="709" w:leader="none"/>
        </w:tabs>
        <w:bidi w:val="0"/>
        <w:ind w:hanging="283" w:start="709"/>
        <w:rPr/>
      </w:pPr>
      <w:r>
        <w:rPr/>
        <w:t>家长通常如何看待幼儿争抢？家园之间有哪些一致或冲突的做法？</w:t>
      </w:r>
    </w:p>
    <w:p>
      <w:pPr>
        <w:pStyle w:val="BodyText"/>
        <w:numPr>
          <w:ilvl w:val="0"/>
          <w:numId w:val="2"/>
        </w:numPr>
        <w:tabs>
          <w:tab w:val="clear" w:pos="1134"/>
          <w:tab w:val="left" w:pos="709" w:leader="none"/>
        </w:tabs>
        <w:bidi w:val="0"/>
        <w:ind w:hanging="283" w:start="709"/>
        <w:rPr/>
      </w:pPr>
      <w:r>
        <w:rPr/>
        <w:t>班级人员、时间、空间和材料条件对教师支持有何影响？园所还可提供什么帮助？</w:t>
      </w:r>
    </w:p>
    <w:p>
      <w:pPr>
        <w:pStyle w:val="Heading2"/>
        <w:bidi w:val="0"/>
        <w:rPr/>
      </w:pPr>
      <w:r>
        <w:rPr/>
        <w:t>附录</w:t>
      </w:r>
      <w:r>
        <w:rPr/>
        <w:t xml:space="preserve">D </w:t>
      </w:r>
      <w:r>
        <w:rPr/>
        <w:t>每周行动反思表</w:t>
      </w:r>
    </w:p>
    <w:tbl>
      <w:tblPr>
        <w:tblW w:w="5000" w:type="pct"/>
        <w:jc w:val="start"/>
        <w:tblInd w:w="-7" w:type="dxa"/>
        <w:tblLayout w:type="fixed"/>
        <w:tblCellMar>
          <w:top w:w="75" w:type="dxa"/>
          <w:start w:w="75" w:type="dxa"/>
          <w:bottom w:w="75" w:type="dxa"/>
          <w:end w:w="75" w:type="dxa"/>
        </w:tblCellMar>
      </w:tblPr>
      <w:tblGrid>
        <w:gridCol w:w="2869"/>
        <w:gridCol w:w="970"/>
      </w:tblGrid>
      <w:tr>
        <w:trPr>
          <w:tblHeader w:val="true"/>
        </w:trPr>
        <w:tc>
          <w:tcPr>
            <w:tcW w:w="2869"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项目</w:t>
            </w:r>
          </w:p>
        </w:tc>
        <w:tc>
          <w:tcPr>
            <w:tcW w:w="970"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填写内容</w:t>
            </w:r>
          </w:p>
        </w:tc>
      </w:tr>
      <w:tr>
        <w:trPr/>
        <w:tc>
          <w:tcPr>
            <w:tcW w:w="286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周次</w:t>
            </w:r>
          </w:p>
        </w:tc>
        <w:tc>
          <w:tcPr>
            <w:tcW w:w="97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286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本周高频情境</w:t>
            </w:r>
          </w:p>
        </w:tc>
        <w:tc>
          <w:tcPr>
            <w:tcW w:w="97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286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证据（事件数、发生率或典型案例）</w:t>
            </w:r>
          </w:p>
        </w:tc>
        <w:tc>
          <w:tcPr>
            <w:tcW w:w="97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286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已采取行动</w:t>
            </w:r>
          </w:p>
        </w:tc>
        <w:tc>
          <w:tcPr>
            <w:tcW w:w="97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286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出现的有效表现</w:t>
            </w:r>
          </w:p>
        </w:tc>
        <w:tc>
          <w:tcPr>
            <w:tcW w:w="97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2869" w:type="dxa"/>
            <w:tcBorders>
              <w:start w:val="single" w:sz="6" w:space="0" w:color="808080"/>
              <w:bottom w:val="single" w:sz="2" w:space="0" w:color="808080"/>
              <w:end w:val="single" w:sz="6" w:space="0" w:color="808080"/>
            </w:tcBorders>
            <w:vAlign w:val="center"/>
          </w:tcPr>
          <w:p>
            <w:pPr>
              <w:pStyle w:val="TableContents"/>
              <w:bidi w:val="0"/>
              <w:spacing w:before="0" w:after="283"/>
              <w:rPr/>
            </w:pPr>
            <w:r>
              <w:rPr/>
              <w:t>未解决问题</w:t>
            </w:r>
          </w:p>
        </w:tc>
        <w:tc>
          <w:tcPr>
            <w:tcW w:w="970" w:type="dxa"/>
            <w:tcBorders>
              <w:start w:val="single" w:sz="2" w:space="0" w:color="808080"/>
              <w:bottom w:val="single" w:sz="2" w:space="0" w:color="808080"/>
              <w:end w:val="single" w:sz="6" w:space="0" w:color="808080"/>
            </w:tcBorders>
            <w:vAlign w:val="center"/>
          </w:tcPr>
          <w:p>
            <w:pPr>
              <w:pStyle w:val="TableContents"/>
              <w:bidi w:val="0"/>
              <w:spacing w:before="0" w:after="283"/>
              <w:rPr>
                <w:sz w:val="4"/>
                <w:szCs w:val="4"/>
              </w:rPr>
            </w:pPr>
            <w:r>
              <w:rPr>
                <w:sz w:val="4"/>
                <w:szCs w:val="4"/>
              </w:rPr>
            </w:r>
          </w:p>
        </w:tc>
      </w:tr>
      <w:tr>
        <w:trPr/>
        <w:tc>
          <w:tcPr>
            <w:tcW w:w="2869" w:type="dxa"/>
            <w:tcBorders>
              <w:start w:val="single" w:sz="6" w:space="0" w:color="808080"/>
              <w:bottom w:val="single" w:sz="6" w:space="0" w:color="808080"/>
              <w:end w:val="single" w:sz="6" w:space="0" w:color="808080"/>
            </w:tcBorders>
            <w:vAlign w:val="center"/>
          </w:tcPr>
          <w:p>
            <w:pPr>
              <w:pStyle w:val="TableContents"/>
              <w:bidi w:val="0"/>
              <w:spacing w:before="0" w:after="283"/>
              <w:rPr/>
            </w:pPr>
            <w:r>
              <w:rPr/>
              <w:t>下周调整</w:t>
            </w:r>
          </w:p>
        </w:tc>
        <w:tc>
          <w:tcPr>
            <w:tcW w:w="970" w:type="dxa"/>
            <w:tcBorders>
              <w:start w:val="single" w:sz="2" w:space="0" w:color="808080"/>
              <w:bottom w:val="single" w:sz="6" w:space="0" w:color="808080"/>
              <w:end w:val="single" w:sz="6" w:space="0" w:color="808080"/>
            </w:tcBorders>
            <w:vAlign w:val="center"/>
          </w:tcPr>
          <w:p>
            <w:pPr>
              <w:pStyle w:val="TableContents"/>
              <w:bidi w:val="0"/>
              <w:spacing w:before="0" w:after="283"/>
              <w:rPr>
                <w:sz w:val="4"/>
                <w:szCs w:val="4"/>
              </w:rPr>
            </w:pPr>
            <w:r>
              <w:rPr>
                <w:sz w:val="4"/>
                <w:szCs w:val="4"/>
              </w:rPr>
            </w:r>
          </w:p>
        </w:tc>
      </w:tr>
    </w:tbl>
    <w:p>
      <w:pPr>
        <w:pStyle w:val="BodyText"/>
        <w:bidi w:val="0"/>
        <w:rPr/>
      </w:pPr>
      <w:r>
        <w:rPr/>
        <w:t>复盘时至少讨论：是否存在明显环境诱因；教师是否看见双方需要；是否先保障安全；介入是否过早或过晚；幼儿是否参与方案；方案是否执行；双方是否恢复游戏；是否有幼儿持续处于弱势。</w:t>
      </w:r>
    </w:p>
    <w:p>
      <w:pPr>
        <w:pStyle w:val="Heading2"/>
        <w:bidi w:val="0"/>
        <w:rPr/>
      </w:pPr>
      <w:r>
        <w:rPr/>
        <w:t>附录</w:t>
      </w:r>
      <w:r>
        <w:rPr/>
        <w:t xml:space="preserve">E </w:t>
      </w:r>
      <w:r>
        <w:rPr/>
        <w:t>监护人知情说明要点</w:t>
      </w:r>
    </w:p>
    <w:p>
      <w:pPr>
        <w:pStyle w:val="BodyText"/>
        <w:numPr>
          <w:ilvl w:val="0"/>
          <w:numId w:val="3"/>
        </w:numPr>
        <w:tabs>
          <w:tab w:val="clear" w:pos="1134"/>
          <w:tab w:val="left" w:pos="709" w:leader="none"/>
        </w:tabs>
        <w:bidi w:val="0"/>
        <w:ind w:hanging="283" w:start="709"/>
        <w:rPr/>
      </w:pPr>
      <w:r>
        <w:rPr/>
        <w:t>说明研究目的在于改进班级教育支持，不对幼儿作医学或心理诊断。</w:t>
      </w:r>
    </w:p>
    <w:p>
      <w:pPr>
        <w:pStyle w:val="BodyText"/>
        <w:numPr>
          <w:ilvl w:val="0"/>
          <w:numId w:val="3"/>
        </w:numPr>
        <w:tabs>
          <w:tab w:val="clear" w:pos="1134"/>
          <w:tab w:val="left" w:pos="709" w:leader="none"/>
        </w:tabs>
        <w:bidi w:val="0"/>
        <w:ind w:hanging="283" w:start="709"/>
        <w:rPr/>
      </w:pPr>
      <w:r>
        <w:rPr/>
        <w:t>说明观察时段、记录方式、是否录像、资料用途、保存期限与销毁方式。</w:t>
      </w:r>
    </w:p>
    <w:p>
      <w:pPr>
        <w:pStyle w:val="BodyText"/>
        <w:numPr>
          <w:ilvl w:val="0"/>
          <w:numId w:val="3"/>
        </w:numPr>
        <w:tabs>
          <w:tab w:val="clear" w:pos="1134"/>
          <w:tab w:val="left" w:pos="709" w:leader="none"/>
        </w:tabs>
        <w:bidi w:val="0"/>
        <w:ind w:hanging="283" w:start="709"/>
        <w:rPr/>
      </w:pPr>
      <w:r>
        <w:rPr/>
        <w:t>明确使用代号，公开成果不出现可识别幼儿和家庭的信息。</w:t>
      </w:r>
    </w:p>
    <w:p>
      <w:pPr>
        <w:pStyle w:val="BodyText"/>
        <w:numPr>
          <w:ilvl w:val="0"/>
          <w:numId w:val="3"/>
        </w:numPr>
        <w:tabs>
          <w:tab w:val="clear" w:pos="1134"/>
          <w:tab w:val="left" w:pos="709" w:leader="none"/>
        </w:tabs>
        <w:bidi w:val="0"/>
        <w:ind w:hanging="283" w:start="709"/>
        <w:rPr/>
      </w:pPr>
      <w:r>
        <w:rPr/>
        <w:t>明确参与自愿，监护人可拒绝或随时退出，不影响幼儿在园权益。</w:t>
      </w:r>
    </w:p>
    <w:p>
      <w:pPr>
        <w:pStyle w:val="BodyText"/>
        <w:numPr>
          <w:ilvl w:val="0"/>
          <w:numId w:val="3"/>
        </w:numPr>
        <w:tabs>
          <w:tab w:val="clear" w:pos="1134"/>
          <w:tab w:val="left" w:pos="709" w:leader="none"/>
        </w:tabs>
        <w:bidi w:val="0"/>
        <w:ind w:hanging="283" w:start="709"/>
        <w:rPr/>
      </w:pPr>
      <w:r>
        <w:rPr/>
        <w:t>明确研究不故意诱发争抢，发生安全风险时正常保教和保护优先。</w:t>
      </w:r>
    </w:p>
    <w:p>
      <w:pPr>
        <w:pStyle w:val="BodyText"/>
        <w:numPr>
          <w:ilvl w:val="0"/>
          <w:numId w:val="3"/>
        </w:numPr>
        <w:tabs>
          <w:tab w:val="clear" w:pos="1134"/>
          <w:tab w:val="left" w:pos="709" w:leader="none"/>
        </w:tabs>
        <w:bidi w:val="0"/>
        <w:ind w:hanging="283" w:start="709"/>
        <w:rPr/>
      </w:pPr>
      <w:r>
        <w:rPr/>
        <w:t>提供研究负责人、园方联系人及意见反馈渠道，并留存监护人签字和日期。</w:t>
      </w:r>
    </w:p>
    <w:p>
      <w:pPr>
        <w:pStyle w:val="Heading1"/>
        <w:bidi w:val="0"/>
        <w:rPr/>
      </w:pPr>
      <w:r>
        <w:rPr/>
        <w:t>致谢</w:t>
      </w:r>
    </w:p>
    <w:p>
      <w:pPr>
        <w:pStyle w:val="BodyText"/>
        <w:bidi w:val="0"/>
        <w:spacing w:before="0" w:after="283"/>
        <w:rPr/>
      </w:pPr>
      <w:r>
        <w:rPr/>
        <w:t>本研究的完成离不开指导教师在选题、研究设计和论文修改方面的指导，离不开幼儿园管理者和班级教师在现场观察与行动改进中的支持，也离不开幼儿及其家长的理解与配合。在此谨向所有给予帮助的老师、同事和家人表示诚挚感谢。研究者将珍惜每一份信任，严格保护儿童隐私，并继续在教育实践中反思和改进。</w:t>
      </w:r>
    </w:p>
    <w:sectPr>
      <w:type w:val="nextPage"/>
      <w:pgSz w:w="11906" w:h="16838"/>
      <w:pgMar w:left="1701" w:right="1417"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SC">
    <w:altName w:val="SimSun"/>
    <w:charset w:val="01" w:characterSet="utf-8"/>
    <w:family w:val="auto"/>
    <w:pitch w:val="default"/>
  </w:font>
  <w:font w:name="Noto Sans">
    <w:charset w:val="01" w:characterSet="utf-8"/>
    <w:family w:val="auto"/>
    <w:pitch w:val="variable"/>
  </w:font>
  <w:font w:name="Noto Sans CJK SC">
    <w:altName w:val="SimHei"/>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20"/>
      <w:jc w:val="both"/>
    </w:pPr>
    <w:rPr>
      <w:rFonts w:ascii="Noto Serif CJK SC;SimSun;serif" w:hAnsi="Noto Serif CJK SC;SimSun;serif" w:eastAsia="Noto Serif CJK SC;SimSun;serif" w:cs="Noto Serif CJK SC;SimSun;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Noto Sans CJK SC;SimHei;sans-serif" w:hAnsi="Noto Sans CJK SC;SimHei;sans-serif" w:eastAsia="Noto Sans CJK SC;SimHei;sans-serif" w:cs="Noto Sans CJK SC;SimHei;sans-serif"/>
      <w:b/>
      <w:bCs/>
      <w:sz w:val="28"/>
      <w:szCs w:val="28"/>
    </w:rPr>
  </w:style>
  <w:style w:type="paragraph" w:styleId="Heading3">
    <w:name w:val="Heading 3"/>
    <w:basedOn w:val="Heading"/>
    <w:next w:val="BodyText"/>
    <w:qFormat/>
    <w:pPr>
      <w:spacing w:before="140" w:after="120"/>
      <w:outlineLvl w:val="2"/>
    </w:pPr>
    <w:rPr>
      <w:rFonts w:ascii="Noto Sans CJK SC;SimHei;sans-serif" w:hAnsi="Noto Sans CJK SC;SimHei;sans-serif" w:eastAsia="Noto Sans CJK SC;SimHei;sans-serif" w:cs="Noto Sans CJK SC;SimHei;sans-serif"/>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00000"/>
      <w:u w:val="none"/>
      <w:effect w:val="none"/>
    </w:rPr>
  </w:style>
  <w:style w:type="character" w:styleId="Strong">
    <w:name w:val="Strong"/>
    <w:qFormat/>
    <w:rPr>
      <w:b/>
      <w:bCs/>
    </w:rPr>
  </w:style>
  <w:style w:type="character" w:styleId="NumberingSymbols">
    <w:name w:val="Numbering Symbols"/>
    <w:qFormat/>
    <w:rPr/>
  </w:style>
  <w:style w:type="character" w:styleId="FollowedHyperlink">
    <w:name w:val="FollowedHyperlink"/>
    <w:rPr>
      <w:strike w:val="false"/>
      <w:dstrike w:val="false"/>
      <w:color w:val="000000"/>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top w:val="single" w:sz="2" w:space="1" w:color="D6B656"/>
        <w:left w:val="single" w:sz="2" w:space="1" w:color="D6B656"/>
        <w:bottom w:val="single" w:sz="2" w:space="1" w:color="D6B656"/>
        <w:right w:val="single" w:sz="2" w:space="1" w:color="D6B656"/>
      </w:pBdr>
      <w:shd w:fill="FFF4CC" w:val="clear"/>
      <w:spacing w:before="0" w:after="283"/>
      <w:ind w:hanging="0" w:start="567" w:end="567"/>
    </w:pPr>
    <w:rPr>
      <w:color w:val="7A1F1F"/>
    </w:rPr>
  </w:style>
  <w:style w:type="paragraph" w:styleId="Heading1notice-title">
    <w:name w:val="Heading 1.notice-title"/>
    <w:basedOn w:val="Heading1"/>
    <w:qFormat/>
    <w:pPr>
      <w:spacing w:before="850" w:after="283"/>
      <w:jc w:val="center"/>
    </w:pPr>
    <w:rPr>
      <w:sz w:val="36"/>
      <w:szCs w:val="36"/>
    </w:rPr>
  </w:style>
  <w:style w:type="paragraph" w:styleId="Heading1paper-title">
    <w:name w:val="Heading 1.paper-title"/>
    <w:basedOn w:val="Heading1"/>
    <w:qFormat/>
    <w:pPr>
      <w:pageBreakBefore/>
      <w:spacing w:before="1020" w:after="227"/>
      <w:ind w:start="1020" w:end="1020"/>
      <w:jc w:val="center"/>
    </w:pPr>
    <w:rPr>
      <w:rFonts w:ascii="Noto Sans CJK SC;SimHei;sans-serif" w:hAnsi="Noto Sans CJK SC;SimHei;sans-serif" w:eastAsia="Noto Sans CJK SC;SimHei;sans-serif" w:cs="Noto Sans CJK SC;SimHei;sans-serif"/>
      <w:sz w:val="44"/>
      <w:szCs w:val="44"/>
    </w:rPr>
  </w:style>
  <w:style w:type="paragraph" w:styleId="Heading2paper-subtitle">
    <w:name w:val="Heading 2.paper-subtitle"/>
    <w:basedOn w:val="Heading2"/>
    <w:qFormat/>
    <w:pPr>
      <w:spacing w:before="227" w:after="680"/>
      <w:ind w:hanging="0" w:start="227" w:end="227"/>
      <w:jc w:val="center"/>
      <w:outlineLvl w:val="9"/>
    </w:pPr>
    <w:rPr>
      <w:rFonts w:ascii="Noto Sans CJK SC;SimHei;sans-serif" w:hAnsi="Noto Sans CJK SC;SimHei;sans-serif" w:eastAsia="Noto Sans CJK SC;SimHei;sans-serif" w:cs="Noto Sans CJK SC;SimHei;sans-serif"/>
      <w:sz w:val="32"/>
      <w:szCs w:val="32"/>
    </w:rPr>
  </w:style>
  <w:style w:type="paragraph" w:styleId="BodyTextauthor">
    <w:name w:val="Body Text.author"/>
    <w:basedOn w:val="BodyText"/>
    <w:qFormat/>
    <w:pPr>
      <w:spacing w:before="0" w:after="680"/>
      <w:jc w:val="center"/>
    </w:pPr>
    <w:rPr/>
  </w:style>
  <w:style w:type="paragraph" w:styleId="Heading2abstract-title">
    <w:name w:val="Heading 2.abstract-title"/>
    <w:basedOn w:val="Heading2"/>
    <w:qFormat/>
    <w:pPr>
      <w:ind w:hanging="0" w:start="0"/>
      <w:jc w:val="center"/>
      <w:outlineLvl w:val="9"/>
    </w:pPr>
    <w:rPr>
      <w:sz w:val="30"/>
      <w:szCs w:val="30"/>
    </w:rPr>
  </w:style>
  <w:style w:type="paragraph" w:styleId="Heading2toc-title">
    <w:name w:val="Heading 2.toc-title"/>
    <w:basedOn w:val="Heading2"/>
    <w:qFormat/>
    <w:pPr>
      <w:ind w:hanging="0" w:start="0"/>
      <w:jc w:val="center"/>
      <w:outlineLvl w:val="9"/>
    </w:pPr>
    <w:rPr>
      <w:sz w:val="30"/>
      <w:szCs w:val="3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托班幼儿争抢行为现状分析——教师教育支持策略的实践研究</dc:title>
</cp:coreProperties>
</file>

<file path=docProps/custom.xml><?xml version="1.0" encoding="utf-8"?>
<Properties xmlns="http://schemas.openxmlformats.org/officeDocument/2006/custom-properties" xmlns:vt="http://schemas.openxmlformats.org/officeDocument/2006/docPropsVTypes"/>
</file>