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2C306" w14:textId="77777777" w:rsidR="000F7429" w:rsidRDefault="000F7429">
      <w:pPr>
        <w:spacing w:after="480"/>
      </w:pPr>
    </w:p>
    <w:p w14:paraId="5650AF72" w14:textId="77777777" w:rsidR="000F7429" w:rsidRPr="00071590" w:rsidRDefault="00223D5B">
      <w:pPr>
        <w:jc w:val="center"/>
        <w:rPr>
          <w:color w:val="984806" w:themeColor="accent6" w:themeShade="80"/>
          <w:lang w:val="pt-PT"/>
        </w:rPr>
      </w:pPr>
      <w:r w:rsidRPr="00071590">
        <w:rPr>
          <w:rFonts w:ascii="Aptos Display" w:hAnsi="Aptos Display"/>
          <w:b/>
          <w:color w:val="984806" w:themeColor="accent6" w:themeShade="80"/>
          <w:sz w:val="28"/>
          <w:lang w:val="pt-PT"/>
        </w:rPr>
        <w:t>INSTITUTO SUPERIOR DE ENGENHARIA DO PORTO</w:t>
      </w:r>
    </w:p>
    <w:p w14:paraId="70678253" w14:textId="77777777" w:rsidR="000F7429" w:rsidRDefault="00223D5B">
      <w:pPr>
        <w:jc w:val="center"/>
      </w:pPr>
      <w:r>
        <w:rPr>
          <w:sz w:val="24"/>
        </w:rPr>
        <w:t>Master's in Informatics Engineering – Data Engineering</w:t>
      </w:r>
    </w:p>
    <w:p w14:paraId="640938DF" w14:textId="77777777" w:rsidR="000F7429" w:rsidRPr="00071590" w:rsidRDefault="00223D5B">
      <w:pPr>
        <w:pStyle w:val="Ttulo"/>
        <w:jc w:val="center"/>
        <w:rPr>
          <w:color w:val="000000" w:themeColor="text1"/>
        </w:rPr>
      </w:pPr>
      <w:r w:rsidRPr="00071590">
        <w:rPr>
          <w:color w:val="000000" w:themeColor="text1"/>
        </w:rPr>
        <w:t>Big Data Pipeline for the Analysis of Emergent Sector Volatility in Financial Markets: Batch and Streaming</w:t>
      </w:r>
    </w:p>
    <w:p w14:paraId="50D7BEF1" w14:textId="77777777" w:rsidR="000F7429" w:rsidRDefault="00223D5B">
      <w:pPr>
        <w:pStyle w:val="Subttulo"/>
        <w:spacing w:after="1160"/>
        <w:jc w:val="center"/>
      </w:pPr>
      <w:r>
        <w:t>Intermediate Technical Validation – Week 5</w:t>
      </w:r>
    </w:p>
    <w:p w14:paraId="7FC50E05" w14:textId="77777777" w:rsidR="000F7429" w:rsidRDefault="00223D5B">
      <w:pPr>
        <w:jc w:val="center"/>
      </w:pPr>
      <w:r>
        <w:rPr>
          <w:b/>
          <w:sz w:val="24"/>
        </w:rPr>
        <w:t>Students</w:t>
      </w:r>
    </w:p>
    <w:p w14:paraId="45B7DA4A" w14:textId="77777777" w:rsidR="000F7429" w:rsidRDefault="00223D5B">
      <w:pPr>
        <w:spacing w:after="60"/>
        <w:jc w:val="center"/>
      </w:pPr>
      <w:r>
        <w:t>Diogo Silva – 1211882</w:t>
      </w:r>
    </w:p>
    <w:p w14:paraId="393E281E" w14:textId="77777777" w:rsidR="000F7429" w:rsidRPr="00071590" w:rsidRDefault="00223D5B">
      <w:pPr>
        <w:spacing w:after="60"/>
        <w:jc w:val="center"/>
        <w:rPr>
          <w:lang w:val="pt-PT"/>
        </w:rPr>
      </w:pPr>
      <w:r w:rsidRPr="00071590">
        <w:rPr>
          <w:lang w:val="pt-PT"/>
        </w:rPr>
        <w:t>Rui Couto – 1211497</w:t>
      </w:r>
    </w:p>
    <w:p w14:paraId="2095DB92" w14:textId="77777777" w:rsidR="000F7429" w:rsidRPr="00071590" w:rsidRDefault="00223D5B">
      <w:pPr>
        <w:spacing w:after="60"/>
        <w:jc w:val="center"/>
        <w:rPr>
          <w:lang w:val="pt-PT"/>
        </w:rPr>
      </w:pPr>
      <w:r w:rsidRPr="00071590">
        <w:rPr>
          <w:lang w:val="pt-PT"/>
        </w:rPr>
        <w:t>Gonçalo Teixeira – 1200882</w:t>
      </w:r>
    </w:p>
    <w:p w14:paraId="30152D42" w14:textId="6CB83D63" w:rsidR="000F7429" w:rsidRPr="00071590" w:rsidRDefault="00223D5B">
      <w:pPr>
        <w:spacing w:before="1160"/>
        <w:jc w:val="center"/>
        <w:rPr>
          <w:lang w:val="pt-PT"/>
        </w:rPr>
      </w:pPr>
      <w:r w:rsidRPr="00071590">
        <w:rPr>
          <w:lang w:val="pt-PT"/>
        </w:rPr>
        <w:t>2026/2027</w:t>
      </w:r>
    </w:p>
    <w:p w14:paraId="3775FFD0" w14:textId="77777777" w:rsidR="000F7429" w:rsidRPr="00071590" w:rsidRDefault="000F7429">
      <w:pPr>
        <w:rPr>
          <w:lang w:val="pt-PT"/>
        </w:rPr>
        <w:sectPr w:rsidR="000F7429" w:rsidRPr="00071590">
          <w:pgSz w:w="11906" w:h="16838"/>
          <w:pgMar w:top="1417" w:right="1417" w:bottom="1417" w:left="1417" w:header="720" w:footer="720" w:gutter="0"/>
          <w:cols w:space="720"/>
          <w:docGrid w:linePitch="360"/>
        </w:sectPr>
      </w:pPr>
    </w:p>
    <w:p w14:paraId="44E3A94D" w14:textId="77777777" w:rsidR="000F7429" w:rsidRDefault="00223D5B">
      <w:pPr>
        <w:pStyle w:val="Ttulo1"/>
      </w:pPr>
      <w:r>
        <w:lastRenderedPageBreak/>
        <w:t>1. Problem</w:t>
      </w:r>
    </w:p>
    <w:p w14:paraId="6CE2C789" w14:textId="77777777" w:rsidR="000F7429" w:rsidRDefault="00223D5B">
      <w:pPr>
        <w:jc w:val="both"/>
      </w:pPr>
      <w:r>
        <w:t>Price volatility is not only a property of each stock. At sector level, it can emerge in a coordinated way when several stocks in the same sector become more volatile at the same time. Detecting this behavior requires high-frequency data from multiple companies that are comparable across sectors, consistent over time, and available both historically and in real time. Data quality and temporal consistency are therefore essential to avoid distorting returns, volatility estimates, and cross-company comparisons.</w:t>
      </w:r>
    </w:p>
    <w:p w14:paraId="530DC76F" w14:textId="77777777" w:rsidR="000F7429" w:rsidRDefault="00223D5B">
      <w:pPr>
        <w:jc w:val="both"/>
      </w:pPr>
      <w:r>
        <w:rPr>
          <w:b/>
        </w:rPr>
        <w:t>Central question:</w:t>
      </w:r>
      <w:r>
        <w:t xml:space="preserve"> How can emergent sector volatility across the stocks of multiple companies be analyzed scalably and reproducibly by integrating historical (Batch) and real-time (Streaming) OHLCV data with sufficient quality and temporal consistency for comparable results?</w:t>
      </w:r>
    </w:p>
    <w:p w14:paraId="52A8C01F" w14:textId="77777777" w:rsidR="000F7429" w:rsidRDefault="00223D5B">
      <w:pPr>
        <w:pStyle w:val="Ttulo1"/>
      </w:pPr>
      <w:r>
        <w:t>2. Objectives</w:t>
      </w:r>
    </w:p>
    <w:p w14:paraId="2EDF3416" w14:textId="77777777" w:rsidR="000F7429" w:rsidRDefault="00223D5B">
      <w:pPr>
        <w:jc w:val="both"/>
      </w:pPr>
      <w:r>
        <w:t>The project pursues the following objectives:</w:t>
      </w:r>
    </w:p>
    <w:p w14:paraId="43DE0D21" w14:textId="77777777" w:rsidR="000F7429" w:rsidRDefault="00223D5B">
      <w:pPr>
        <w:pStyle w:val="Listacommarcas"/>
        <w:spacing w:after="60"/>
        <w:jc w:val="both"/>
      </w:pPr>
      <w:r>
        <w:t>Estimate realized volatility by company and aggregate it by sector from one-minute bars.</w:t>
      </w:r>
    </w:p>
    <w:p w14:paraId="38AA7C5C" w14:textId="77777777" w:rsidR="000F7429" w:rsidRDefault="00223D5B">
      <w:pPr>
        <w:pStyle w:val="Listacommarcas"/>
        <w:spacing w:after="60"/>
        <w:jc w:val="both"/>
      </w:pPr>
      <w:r>
        <w:t>Identify emergent sector-volatility patterns, including synchronization, concentration, and intraday variation.</w:t>
      </w:r>
    </w:p>
    <w:p w14:paraId="7F71B94C" w14:textId="77777777" w:rsidR="000F7429" w:rsidRDefault="00223D5B">
      <w:pPr>
        <w:pStyle w:val="Listacommarcas"/>
        <w:spacing w:after="60"/>
        <w:jc w:val="both"/>
      </w:pPr>
      <w:r>
        <w:t>Analyze intra- and inter-sector return correlation.</w:t>
      </w:r>
    </w:p>
    <w:p w14:paraId="48DE9DAF" w14:textId="77777777" w:rsidR="000F7429" w:rsidRDefault="00223D5B">
      <w:pPr>
        <w:pStyle w:val="Listacommarcas"/>
        <w:spacing w:after="60"/>
        <w:jc w:val="both"/>
      </w:pPr>
      <w:r>
        <w:t>Ensure the quality and temporal consistency of the data in both Batch and Streaming.</w:t>
      </w:r>
    </w:p>
    <w:p w14:paraId="1F540CD5" w14:textId="77777777" w:rsidR="000F7429" w:rsidRDefault="00223D5B">
      <w:pPr>
        <w:pStyle w:val="Listacommarcas"/>
        <w:spacing w:after="60"/>
        <w:jc w:val="both"/>
      </w:pPr>
      <w:r>
        <w:t>Compare Batch processing for reproducible historical analysis with Streaming processing for near-real-time monitoring.</w:t>
      </w:r>
    </w:p>
    <w:p w14:paraId="767CFB14" w14:textId="77777777" w:rsidR="000F7429" w:rsidRPr="00071590" w:rsidRDefault="00223D5B">
      <w:pPr>
        <w:pStyle w:val="Ttulo1"/>
      </w:pPr>
      <w:r w:rsidRPr="00071590">
        <w:t>3. Batch and Streaming Approach</w:t>
      </w:r>
    </w:p>
    <w:p w14:paraId="33B914D8" w14:textId="77777777" w:rsidR="000F7429" w:rsidRDefault="00223D5B">
      <w:pPr>
        <w:jc w:val="both"/>
      </w:pPr>
      <w:r>
        <w:t>The project processes the same financial data through two complementary paths. In the Batch path, historical bars are retrieved through the Alpaca REST API and stored in Parquet and CSV formats. Apache Spark then processes these records to support reproducible historical analysis.</w:t>
      </w:r>
    </w:p>
    <w:p w14:paraId="5E616F92" w14:textId="77777777" w:rsidR="000F7429" w:rsidRDefault="00223D5B">
      <w:pPr>
        <w:jc w:val="both"/>
      </w:pPr>
      <w:r>
        <w:t>In the Streaming path, real-time bars are received through the Alpaca WebSocket API and published to Kafka. Spark Structured Streaming performs validation, deduplication, sector enrichment, and persistence to support near-real-time monitoring. Both paths are designed around the same schema and validation rules, allowing their outputs to be compared consistently.</w:t>
      </w:r>
    </w:p>
    <w:p w14:paraId="5B020A5B" w14:textId="77777777" w:rsidR="000F7429" w:rsidRDefault="00223D5B">
      <w:pPr>
        <w:pStyle w:val="Ttulo1"/>
      </w:pPr>
      <w:r>
        <w:lastRenderedPageBreak/>
        <w:t>4. Dataset</w:t>
      </w:r>
    </w:p>
    <w:p w14:paraId="7854287C" w14:textId="77777777" w:rsidR="000F7429" w:rsidRDefault="00223D5B">
      <w:pPr>
        <w:jc w:val="both"/>
      </w:pPr>
      <w:r>
        <w:t>The dataset consists of one-minute OHLCV bars obtained from the Alpaca Market Data API v2 using the IEX feed. It covers 30 companies distributed across six project-defined sectors—Technology, Healthcare, Defense, Aerospace, Energy, and Financials—with five companies in each sector. The observations span 13 trading days between 1 and 18 September 2026 and comprise 113,988 records, occupying approximately 2.86 MB in Parquet format.</w:t>
      </w:r>
    </w:p>
    <w:p w14:paraId="4FA21EAC" w14:textId="77777777" w:rsidR="000F7429" w:rsidRDefault="00223D5B">
      <w:pPr>
        <w:jc w:val="both"/>
      </w:pPr>
      <w:r>
        <w:t>The current dataset is intended to validate the pipeline rather than serve as a large-scale Big Data benchmark. Its volume is expected to grow as the number of symbols, observation frequency, and historical time horizon increase. Table 1 summarizes the attributes used by the pipeline.</w:t>
      </w:r>
    </w:p>
    <w:p w14:paraId="197F8F9E" w14:textId="77777777" w:rsidR="000F7429" w:rsidRDefault="00223D5B">
      <w:pPr>
        <w:spacing w:after="100"/>
        <w:jc w:val="center"/>
      </w:pPr>
      <w:r>
        <w:rPr>
          <w:b/>
          <w:sz w:val="20"/>
        </w:rPr>
        <w:t>Table 1 – Dataset attributes</w:t>
      </w:r>
    </w:p>
    <w:tbl>
      <w:tblPr>
        <w:tblStyle w:val="TabelacomGrelha"/>
        <w:tblW w:w="9498" w:type="dxa"/>
        <w:jc w:val="center"/>
        <w:tblLayout w:type="fixed"/>
        <w:tblLook w:val="04A0" w:firstRow="1" w:lastRow="0" w:firstColumn="1" w:lastColumn="0" w:noHBand="0" w:noVBand="1"/>
      </w:tblPr>
      <w:tblGrid>
        <w:gridCol w:w="1871"/>
        <w:gridCol w:w="2608"/>
        <w:gridCol w:w="5019"/>
      </w:tblGrid>
      <w:tr w:rsidR="000F7429" w14:paraId="3244AF37" w14:textId="77777777" w:rsidTr="00DC4780">
        <w:trPr>
          <w:jc w:val="center"/>
        </w:trPr>
        <w:tc>
          <w:tcPr>
            <w:tcW w:w="1871" w:type="dxa"/>
            <w:shd w:val="clear" w:color="auto" w:fill="E6E6E6"/>
            <w:tcMar>
              <w:top w:w="100" w:type="dxa"/>
              <w:left w:w="120" w:type="dxa"/>
              <w:bottom w:w="100" w:type="dxa"/>
              <w:right w:w="120" w:type="dxa"/>
            </w:tcMar>
            <w:vAlign w:val="center"/>
          </w:tcPr>
          <w:p w14:paraId="4DB55FCA" w14:textId="77777777" w:rsidR="000F7429" w:rsidRDefault="00223D5B">
            <w:pPr>
              <w:spacing w:after="0" w:line="240" w:lineRule="auto"/>
            </w:pPr>
            <w:r>
              <w:rPr>
                <w:b/>
                <w:sz w:val="19"/>
              </w:rPr>
              <w:t>Attribute</w:t>
            </w:r>
          </w:p>
        </w:tc>
        <w:tc>
          <w:tcPr>
            <w:tcW w:w="2608" w:type="dxa"/>
            <w:shd w:val="clear" w:color="auto" w:fill="E6E6E6"/>
            <w:tcMar>
              <w:top w:w="100" w:type="dxa"/>
              <w:left w:w="120" w:type="dxa"/>
              <w:bottom w:w="100" w:type="dxa"/>
              <w:right w:w="120" w:type="dxa"/>
            </w:tcMar>
            <w:vAlign w:val="center"/>
          </w:tcPr>
          <w:p w14:paraId="4228957C" w14:textId="77777777" w:rsidR="000F7429" w:rsidRDefault="00223D5B">
            <w:pPr>
              <w:spacing w:after="0" w:line="240" w:lineRule="auto"/>
            </w:pPr>
            <w:r>
              <w:rPr>
                <w:b/>
                <w:sz w:val="19"/>
              </w:rPr>
              <w:t>Type</w:t>
            </w:r>
          </w:p>
        </w:tc>
        <w:tc>
          <w:tcPr>
            <w:tcW w:w="5019" w:type="dxa"/>
            <w:shd w:val="clear" w:color="auto" w:fill="E6E6E6"/>
            <w:tcMar>
              <w:top w:w="100" w:type="dxa"/>
              <w:left w:w="120" w:type="dxa"/>
              <w:bottom w:w="100" w:type="dxa"/>
              <w:right w:w="120" w:type="dxa"/>
            </w:tcMar>
            <w:vAlign w:val="center"/>
          </w:tcPr>
          <w:p w14:paraId="29FB8C5E" w14:textId="77777777" w:rsidR="000F7429" w:rsidRPr="00071590" w:rsidRDefault="00223D5B">
            <w:pPr>
              <w:spacing w:after="0" w:line="240" w:lineRule="auto"/>
              <w:rPr>
                <w:color w:val="000000" w:themeColor="text1"/>
              </w:rPr>
            </w:pPr>
            <w:r>
              <w:rPr>
                <w:b/>
                <w:sz w:val="19"/>
              </w:rPr>
              <w:t>Description</w:t>
            </w:r>
          </w:p>
        </w:tc>
      </w:tr>
      <w:tr w:rsidR="000F7429" w14:paraId="1D6E958F" w14:textId="77777777" w:rsidTr="00071590">
        <w:trPr>
          <w:jc w:val="center"/>
        </w:trPr>
        <w:tc>
          <w:tcPr>
            <w:tcW w:w="1871" w:type="dxa"/>
            <w:tcMar>
              <w:top w:w="100" w:type="dxa"/>
              <w:left w:w="120" w:type="dxa"/>
              <w:bottom w:w="100" w:type="dxa"/>
              <w:right w:w="120" w:type="dxa"/>
            </w:tcMar>
            <w:vAlign w:val="center"/>
          </w:tcPr>
          <w:p w14:paraId="1002AC3F" w14:textId="77777777" w:rsidR="000F7429" w:rsidRDefault="00223D5B">
            <w:pPr>
              <w:spacing w:after="0" w:line="240" w:lineRule="auto"/>
            </w:pPr>
            <w:r>
              <w:rPr>
                <w:sz w:val="19"/>
              </w:rPr>
              <w:t>timestamp</w:t>
            </w:r>
          </w:p>
        </w:tc>
        <w:tc>
          <w:tcPr>
            <w:tcW w:w="2608" w:type="dxa"/>
            <w:tcMar>
              <w:top w:w="100" w:type="dxa"/>
              <w:left w:w="120" w:type="dxa"/>
              <w:bottom w:w="100" w:type="dxa"/>
              <w:right w:w="120" w:type="dxa"/>
            </w:tcMar>
            <w:vAlign w:val="center"/>
          </w:tcPr>
          <w:p w14:paraId="5196A981" w14:textId="77777777" w:rsidR="000F7429" w:rsidRDefault="00223D5B">
            <w:pPr>
              <w:spacing w:after="0" w:line="240" w:lineRule="auto"/>
            </w:pPr>
            <w:r>
              <w:rPr>
                <w:sz w:val="19"/>
              </w:rPr>
              <w:t>timestamp[us, tz=UTC]</w:t>
            </w:r>
          </w:p>
        </w:tc>
        <w:tc>
          <w:tcPr>
            <w:tcW w:w="5019" w:type="dxa"/>
            <w:tcMar>
              <w:top w:w="100" w:type="dxa"/>
              <w:left w:w="120" w:type="dxa"/>
              <w:bottom w:w="100" w:type="dxa"/>
              <w:right w:w="120" w:type="dxa"/>
            </w:tcMar>
            <w:vAlign w:val="center"/>
          </w:tcPr>
          <w:p w14:paraId="1BF191AF" w14:textId="77777777" w:rsidR="000F7429" w:rsidRDefault="00223D5B">
            <w:pPr>
              <w:spacing w:after="0" w:line="240" w:lineRule="auto"/>
            </w:pPr>
            <w:r>
              <w:rPr>
                <w:sz w:val="19"/>
              </w:rPr>
              <w:t>UTC timestamp of the bar.</w:t>
            </w:r>
          </w:p>
        </w:tc>
      </w:tr>
      <w:tr w:rsidR="000F7429" w14:paraId="1A08D42D" w14:textId="77777777" w:rsidTr="00071590">
        <w:trPr>
          <w:jc w:val="center"/>
        </w:trPr>
        <w:tc>
          <w:tcPr>
            <w:tcW w:w="1871" w:type="dxa"/>
            <w:shd w:val="clear" w:color="auto" w:fill="F4F7FA"/>
            <w:tcMar>
              <w:top w:w="100" w:type="dxa"/>
              <w:left w:w="120" w:type="dxa"/>
              <w:bottom w:w="100" w:type="dxa"/>
              <w:right w:w="120" w:type="dxa"/>
            </w:tcMar>
            <w:vAlign w:val="center"/>
          </w:tcPr>
          <w:p w14:paraId="366C3E28" w14:textId="77777777" w:rsidR="000F7429" w:rsidRDefault="00223D5B">
            <w:pPr>
              <w:spacing w:after="0" w:line="240" w:lineRule="auto"/>
            </w:pPr>
            <w:r>
              <w:rPr>
                <w:sz w:val="19"/>
              </w:rPr>
              <w:t>symbol</w:t>
            </w:r>
          </w:p>
        </w:tc>
        <w:tc>
          <w:tcPr>
            <w:tcW w:w="2608" w:type="dxa"/>
            <w:shd w:val="clear" w:color="auto" w:fill="F4F7FA"/>
            <w:tcMar>
              <w:top w:w="100" w:type="dxa"/>
              <w:left w:w="120" w:type="dxa"/>
              <w:bottom w:w="100" w:type="dxa"/>
              <w:right w:w="120" w:type="dxa"/>
            </w:tcMar>
            <w:vAlign w:val="center"/>
          </w:tcPr>
          <w:p w14:paraId="719948A3" w14:textId="77777777" w:rsidR="000F7429" w:rsidRDefault="00223D5B">
            <w:pPr>
              <w:spacing w:after="0" w:line="240" w:lineRule="auto"/>
            </w:pPr>
            <w:r>
              <w:rPr>
                <w:sz w:val="19"/>
              </w:rPr>
              <w:t>large_string</w:t>
            </w:r>
          </w:p>
        </w:tc>
        <w:tc>
          <w:tcPr>
            <w:tcW w:w="5019" w:type="dxa"/>
            <w:shd w:val="clear" w:color="auto" w:fill="F4F7FA"/>
            <w:tcMar>
              <w:top w:w="100" w:type="dxa"/>
              <w:left w:w="120" w:type="dxa"/>
              <w:bottom w:w="100" w:type="dxa"/>
              <w:right w:w="120" w:type="dxa"/>
            </w:tcMar>
            <w:vAlign w:val="center"/>
          </w:tcPr>
          <w:p w14:paraId="208499B1" w14:textId="77777777" w:rsidR="000F7429" w:rsidRDefault="00223D5B">
            <w:pPr>
              <w:spacing w:after="0" w:line="240" w:lineRule="auto"/>
            </w:pPr>
            <w:r>
              <w:rPr>
                <w:sz w:val="19"/>
              </w:rPr>
              <w:t>Ticker identifying the company.</w:t>
            </w:r>
          </w:p>
        </w:tc>
      </w:tr>
      <w:tr w:rsidR="000F7429" w14:paraId="2E53C2BB" w14:textId="77777777" w:rsidTr="00071590">
        <w:trPr>
          <w:jc w:val="center"/>
        </w:trPr>
        <w:tc>
          <w:tcPr>
            <w:tcW w:w="1871" w:type="dxa"/>
            <w:tcMar>
              <w:top w:w="100" w:type="dxa"/>
              <w:left w:w="120" w:type="dxa"/>
              <w:bottom w:w="100" w:type="dxa"/>
              <w:right w:w="120" w:type="dxa"/>
            </w:tcMar>
            <w:vAlign w:val="center"/>
          </w:tcPr>
          <w:p w14:paraId="5FC070A7" w14:textId="77777777" w:rsidR="000F7429" w:rsidRDefault="00223D5B">
            <w:pPr>
              <w:spacing w:after="0" w:line="240" w:lineRule="auto"/>
            </w:pPr>
            <w:r>
              <w:rPr>
                <w:sz w:val="19"/>
              </w:rPr>
              <w:t>open</w:t>
            </w:r>
          </w:p>
        </w:tc>
        <w:tc>
          <w:tcPr>
            <w:tcW w:w="2608" w:type="dxa"/>
            <w:tcMar>
              <w:top w:w="100" w:type="dxa"/>
              <w:left w:w="120" w:type="dxa"/>
              <w:bottom w:w="100" w:type="dxa"/>
              <w:right w:w="120" w:type="dxa"/>
            </w:tcMar>
            <w:vAlign w:val="center"/>
          </w:tcPr>
          <w:p w14:paraId="74AE9A3F" w14:textId="77777777" w:rsidR="000F7429" w:rsidRDefault="00223D5B">
            <w:pPr>
              <w:spacing w:after="0" w:line="240" w:lineRule="auto"/>
            </w:pPr>
            <w:r>
              <w:rPr>
                <w:sz w:val="19"/>
              </w:rPr>
              <w:t>double</w:t>
            </w:r>
          </w:p>
        </w:tc>
        <w:tc>
          <w:tcPr>
            <w:tcW w:w="5019" w:type="dxa"/>
            <w:tcMar>
              <w:top w:w="100" w:type="dxa"/>
              <w:left w:w="120" w:type="dxa"/>
              <w:bottom w:w="100" w:type="dxa"/>
              <w:right w:w="120" w:type="dxa"/>
            </w:tcMar>
            <w:vAlign w:val="center"/>
          </w:tcPr>
          <w:p w14:paraId="69604C15" w14:textId="77777777" w:rsidR="000F7429" w:rsidRDefault="00223D5B">
            <w:pPr>
              <w:spacing w:after="0" w:line="240" w:lineRule="auto"/>
            </w:pPr>
            <w:r>
              <w:rPr>
                <w:sz w:val="19"/>
              </w:rPr>
              <w:t>Opening price in the interval.</w:t>
            </w:r>
          </w:p>
        </w:tc>
      </w:tr>
      <w:tr w:rsidR="000F7429" w14:paraId="125C5906" w14:textId="77777777" w:rsidTr="00071590">
        <w:trPr>
          <w:jc w:val="center"/>
        </w:trPr>
        <w:tc>
          <w:tcPr>
            <w:tcW w:w="1871" w:type="dxa"/>
            <w:shd w:val="clear" w:color="auto" w:fill="F4F7FA"/>
            <w:tcMar>
              <w:top w:w="100" w:type="dxa"/>
              <w:left w:w="120" w:type="dxa"/>
              <w:bottom w:w="100" w:type="dxa"/>
              <w:right w:w="120" w:type="dxa"/>
            </w:tcMar>
            <w:vAlign w:val="center"/>
          </w:tcPr>
          <w:p w14:paraId="5E62587F" w14:textId="77777777" w:rsidR="000F7429" w:rsidRDefault="00223D5B">
            <w:pPr>
              <w:spacing w:after="0" w:line="240" w:lineRule="auto"/>
            </w:pPr>
            <w:r>
              <w:rPr>
                <w:sz w:val="19"/>
              </w:rPr>
              <w:t>high</w:t>
            </w:r>
          </w:p>
        </w:tc>
        <w:tc>
          <w:tcPr>
            <w:tcW w:w="2608" w:type="dxa"/>
            <w:shd w:val="clear" w:color="auto" w:fill="F4F7FA"/>
            <w:tcMar>
              <w:top w:w="100" w:type="dxa"/>
              <w:left w:w="120" w:type="dxa"/>
              <w:bottom w:w="100" w:type="dxa"/>
              <w:right w:w="120" w:type="dxa"/>
            </w:tcMar>
            <w:vAlign w:val="center"/>
          </w:tcPr>
          <w:p w14:paraId="7DE9F4CC" w14:textId="77777777" w:rsidR="000F7429" w:rsidRDefault="00223D5B">
            <w:pPr>
              <w:spacing w:after="0" w:line="240" w:lineRule="auto"/>
            </w:pPr>
            <w:r>
              <w:rPr>
                <w:sz w:val="19"/>
              </w:rPr>
              <w:t>double</w:t>
            </w:r>
          </w:p>
        </w:tc>
        <w:tc>
          <w:tcPr>
            <w:tcW w:w="5019" w:type="dxa"/>
            <w:shd w:val="clear" w:color="auto" w:fill="F4F7FA"/>
            <w:tcMar>
              <w:top w:w="100" w:type="dxa"/>
              <w:left w:w="120" w:type="dxa"/>
              <w:bottom w:w="100" w:type="dxa"/>
              <w:right w:w="120" w:type="dxa"/>
            </w:tcMar>
            <w:vAlign w:val="center"/>
          </w:tcPr>
          <w:p w14:paraId="13612F32" w14:textId="77777777" w:rsidR="000F7429" w:rsidRDefault="00223D5B">
            <w:pPr>
              <w:spacing w:after="0" w:line="240" w:lineRule="auto"/>
            </w:pPr>
            <w:r>
              <w:rPr>
                <w:sz w:val="19"/>
              </w:rPr>
              <w:t>Highest price in the interval.</w:t>
            </w:r>
          </w:p>
        </w:tc>
      </w:tr>
      <w:tr w:rsidR="000F7429" w14:paraId="0EAE08E7" w14:textId="77777777" w:rsidTr="00071590">
        <w:trPr>
          <w:jc w:val="center"/>
        </w:trPr>
        <w:tc>
          <w:tcPr>
            <w:tcW w:w="1871" w:type="dxa"/>
            <w:tcMar>
              <w:top w:w="100" w:type="dxa"/>
              <w:left w:w="120" w:type="dxa"/>
              <w:bottom w:w="100" w:type="dxa"/>
              <w:right w:w="120" w:type="dxa"/>
            </w:tcMar>
            <w:vAlign w:val="center"/>
          </w:tcPr>
          <w:p w14:paraId="7BCFF612" w14:textId="77777777" w:rsidR="000F7429" w:rsidRDefault="00223D5B">
            <w:pPr>
              <w:spacing w:after="0" w:line="240" w:lineRule="auto"/>
            </w:pPr>
            <w:r>
              <w:rPr>
                <w:sz w:val="19"/>
              </w:rPr>
              <w:t>low</w:t>
            </w:r>
          </w:p>
        </w:tc>
        <w:tc>
          <w:tcPr>
            <w:tcW w:w="2608" w:type="dxa"/>
            <w:tcMar>
              <w:top w:w="100" w:type="dxa"/>
              <w:left w:w="120" w:type="dxa"/>
              <w:bottom w:w="100" w:type="dxa"/>
              <w:right w:w="120" w:type="dxa"/>
            </w:tcMar>
            <w:vAlign w:val="center"/>
          </w:tcPr>
          <w:p w14:paraId="742007E6" w14:textId="77777777" w:rsidR="000F7429" w:rsidRDefault="00223D5B">
            <w:pPr>
              <w:spacing w:after="0" w:line="240" w:lineRule="auto"/>
            </w:pPr>
            <w:r>
              <w:rPr>
                <w:sz w:val="19"/>
              </w:rPr>
              <w:t>double</w:t>
            </w:r>
          </w:p>
        </w:tc>
        <w:tc>
          <w:tcPr>
            <w:tcW w:w="5019" w:type="dxa"/>
            <w:tcMar>
              <w:top w:w="100" w:type="dxa"/>
              <w:left w:w="120" w:type="dxa"/>
              <w:bottom w:w="100" w:type="dxa"/>
              <w:right w:w="120" w:type="dxa"/>
            </w:tcMar>
            <w:vAlign w:val="center"/>
          </w:tcPr>
          <w:p w14:paraId="0BDBEA09" w14:textId="77777777" w:rsidR="000F7429" w:rsidRDefault="00223D5B">
            <w:pPr>
              <w:spacing w:after="0" w:line="240" w:lineRule="auto"/>
            </w:pPr>
            <w:r>
              <w:rPr>
                <w:sz w:val="19"/>
              </w:rPr>
              <w:t>Lowest price in the interval.</w:t>
            </w:r>
          </w:p>
        </w:tc>
      </w:tr>
      <w:tr w:rsidR="000F7429" w14:paraId="3EBB9300" w14:textId="77777777" w:rsidTr="00071590">
        <w:trPr>
          <w:jc w:val="center"/>
        </w:trPr>
        <w:tc>
          <w:tcPr>
            <w:tcW w:w="1871" w:type="dxa"/>
            <w:shd w:val="clear" w:color="auto" w:fill="F4F7FA"/>
            <w:tcMar>
              <w:top w:w="100" w:type="dxa"/>
              <w:left w:w="120" w:type="dxa"/>
              <w:bottom w:w="100" w:type="dxa"/>
              <w:right w:w="120" w:type="dxa"/>
            </w:tcMar>
            <w:vAlign w:val="center"/>
          </w:tcPr>
          <w:p w14:paraId="45985125" w14:textId="77777777" w:rsidR="000F7429" w:rsidRDefault="00223D5B">
            <w:pPr>
              <w:spacing w:after="0" w:line="240" w:lineRule="auto"/>
            </w:pPr>
            <w:r>
              <w:rPr>
                <w:sz w:val="19"/>
              </w:rPr>
              <w:t>close</w:t>
            </w:r>
          </w:p>
        </w:tc>
        <w:tc>
          <w:tcPr>
            <w:tcW w:w="2608" w:type="dxa"/>
            <w:shd w:val="clear" w:color="auto" w:fill="F4F7FA"/>
            <w:tcMar>
              <w:top w:w="100" w:type="dxa"/>
              <w:left w:w="120" w:type="dxa"/>
              <w:bottom w:w="100" w:type="dxa"/>
              <w:right w:w="120" w:type="dxa"/>
            </w:tcMar>
            <w:vAlign w:val="center"/>
          </w:tcPr>
          <w:p w14:paraId="7F6DE05D" w14:textId="77777777" w:rsidR="000F7429" w:rsidRDefault="00223D5B">
            <w:pPr>
              <w:spacing w:after="0" w:line="240" w:lineRule="auto"/>
            </w:pPr>
            <w:r>
              <w:rPr>
                <w:sz w:val="19"/>
              </w:rPr>
              <w:t>double</w:t>
            </w:r>
          </w:p>
        </w:tc>
        <w:tc>
          <w:tcPr>
            <w:tcW w:w="5019" w:type="dxa"/>
            <w:shd w:val="clear" w:color="auto" w:fill="F4F7FA"/>
            <w:tcMar>
              <w:top w:w="100" w:type="dxa"/>
              <w:left w:w="120" w:type="dxa"/>
              <w:bottom w:w="100" w:type="dxa"/>
              <w:right w:w="120" w:type="dxa"/>
            </w:tcMar>
            <w:vAlign w:val="center"/>
          </w:tcPr>
          <w:p w14:paraId="35454D84" w14:textId="77777777" w:rsidR="000F7429" w:rsidRDefault="00223D5B">
            <w:pPr>
              <w:spacing w:after="0" w:line="240" w:lineRule="auto"/>
            </w:pPr>
            <w:r>
              <w:rPr>
                <w:sz w:val="19"/>
              </w:rPr>
              <w:t>Closing price in the interval.</w:t>
            </w:r>
          </w:p>
        </w:tc>
      </w:tr>
      <w:tr w:rsidR="000F7429" w14:paraId="684DDD0D" w14:textId="77777777" w:rsidTr="00071590">
        <w:trPr>
          <w:jc w:val="center"/>
        </w:trPr>
        <w:tc>
          <w:tcPr>
            <w:tcW w:w="1871" w:type="dxa"/>
            <w:tcMar>
              <w:top w:w="100" w:type="dxa"/>
              <w:left w:w="120" w:type="dxa"/>
              <w:bottom w:w="100" w:type="dxa"/>
              <w:right w:w="120" w:type="dxa"/>
            </w:tcMar>
            <w:vAlign w:val="center"/>
          </w:tcPr>
          <w:p w14:paraId="3D033CDE" w14:textId="77777777" w:rsidR="000F7429" w:rsidRDefault="00223D5B">
            <w:pPr>
              <w:spacing w:after="0" w:line="240" w:lineRule="auto"/>
            </w:pPr>
            <w:r>
              <w:rPr>
                <w:sz w:val="19"/>
              </w:rPr>
              <w:t>volume</w:t>
            </w:r>
          </w:p>
        </w:tc>
        <w:tc>
          <w:tcPr>
            <w:tcW w:w="2608" w:type="dxa"/>
            <w:tcMar>
              <w:top w:w="100" w:type="dxa"/>
              <w:left w:w="120" w:type="dxa"/>
              <w:bottom w:w="100" w:type="dxa"/>
              <w:right w:w="120" w:type="dxa"/>
            </w:tcMar>
            <w:vAlign w:val="center"/>
          </w:tcPr>
          <w:p w14:paraId="4042F0A2" w14:textId="77777777" w:rsidR="000F7429" w:rsidRDefault="00223D5B">
            <w:pPr>
              <w:spacing w:after="0" w:line="240" w:lineRule="auto"/>
            </w:pPr>
            <w:r>
              <w:rPr>
                <w:sz w:val="19"/>
              </w:rPr>
              <w:t>int64</w:t>
            </w:r>
          </w:p>
        </w:tc>
        <w:tc>
          <w:tcPr>
            <w:tcW w:w="5019" w:type="dxa"/>
            <w:tcMar>
              <w:top w:w="100" w:type="dxa"/>
              <w:left w:w="120" w:type="dxa"/>
              <w:bottom w:w="100" w:type="dxa"/>
              <w:right w:w="120" w:type="dxa"/>
            </w:tcMar>
            <w:vAlign w:val="center"/>
          </w:tcPr>
          <w:p w14:paraId="6316447A" w14:textId="77777777" w:rsidR="000F7429" w:rsidRDefault="00223D5B">
            <w:pPr>
              <w:spacing w:after="0" w:line="240" w:lineRule="auto"/>
            </w:pPr>
            <w:r>
              <w:rPr>
                <w:sz w:val="19"/>
              </w:rPr>
              <w:t>Traded volume represented by the feed.</w:t>
            </w:r>
          </w:p>
        </w:tc>
      </w:tr>
      <w:tr w:rsidR="000F7429" w14:paraId="2C780B1F" w14:textId="77777777" w:rsidTr="00071590">
        <w:trPr>
          <w:jc w:val="center"/>
        </w:trPr>
        <w:tc>
          <w:tcPr>
            <w:tcW w:w="1871" w:type="dxa"/>
            <w:shd w:val="clear" w:color="auto" w:fill="F4F7FA"/>
            <w:tcMar>
              <w:top w:w="100" w:type="dxa"/>
              <w:left w:w="120" w:type="dxa"/>
              <w:bottom w:w="100" w:type="dxa"/>
              <w:right w:w="120" w:type="dxa"/>
            </w:tcMar>
            <w:vAlign w:val="center"/>
          </w:tcPr>
          <w:p w14:paraId="0E2628AC" w14:textId="77777777" w:rsidR="000F7429" w:rsidRDefault="00223D5B">
            <w:pPr>
              <w:spacing w:after="0" w:line="240" w:lineRule="auto"/>
            </w:pPr>
            <w:r>
              <w:rPr>
                <w:sz w:val="19"/>
              </w:rPr>
              <w:t>sector</w:t>
            </w:r>
          </w:p>
        </w:tc>
        <w:tc>
          <w:tcPr>
            <w:tcW w:w="2608" w:type="dxa"/>
            <w:shd w:val="clear" w:color="auto" w:fill="F4F7FA"/>
            <w:tcMar>
              <w:top w:w="100" w:type="dxa"/>
              <w:left w:w="120" w:type="dxa"/>
              <w:bottom w:w="100" w:type="dxa"/>
              <w:right w:w="120" w:type="dxa"/>
            </w:tcMar>
            <w:vAlign w:val="center"/>
          </w:tcPr>
          <w:p w14:paraId="68F30601" w14:textId="77777777" w:rsidR="000F7429" w:rsidRDefault="00223D5B">
            <w:pPr>
              <w:spacing w:after="0" w:line="240" w:lineRule="auto"/>
            </w:pPr>
            <w:r>
              <w:rPr>
                <w:sz w:val="19"/>
              </w:rPr>
              <w:t>string</w:t>
            </w:r>
          </w:p>
        </w:tc>
        <w:tc>
          <w:tcPr>
            <w:tcW w:w="5019" w:type="dxa"/>
            <w:shd w:val="clear" w:color="auto" w:fill="F4F7FA"/>
            <w:tcMar>
              <w:top w:w="100" w:type="dxa"/>
              <w:left w:w="120" w:type="dxa"/>
              <w:bottom w:w="100" w:type="dxa"/>
              <w:right w:w="120" w:type="dxa"/>
            </w:tcMar>
            <w:vAlign w:val="center"/>
          </w:tcPr>
          <w:p w14:paraId="4E3A450E" w14:textId="77777777" w:rsidR="000F7429" w:rsidRDefault="00223D5B">
            <w:pPr>
              <w:spacing w:after="0" w:line="240" w:lineRule="auto"/>
            </w:pPr>
            <w:r>
              <w:rPr>
                <w:sz w:val="19"/>
              </w:rPr>
              <w:t>Project-defined sector label added during enrichment.</w:t>
            </w:r>
          </w:p>
        </w:tc>
      </w:tr>
    </w:tbl>
    <w:p w14:paraId="44305076" w14:textId="4EB3A0E1" w:rsidR="000F7429" w:rsidRDefault="000F7429">
      <w:pPr>
        <w:jc w:val="both"/>
      </w:pPr>
    </w:p>
    <w:sectPr w:rsidR="000F7429" w:rsidSect="00034616">
      <w:headerReference w:type="default" r:id="rId8"/>
      <w:footerReference w:type="default" r:id="rId9"/>
      <w:pgSz w:w="11906" w:h="16838"/>
      <w:pgMar w:top="1417" w:right="1417" w:bottom="124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52617" w14:textId="77777777" w:rsidR="00FE03B5" w:rsidRDefault="00FE03B5">
      <w:pPr>
        <w:spacing w:after="0" w:line="240" w:lineRule="auto"/>
      </w:pPr>
      <w:r>
        <w:separator/>
      </w:r>
    </w:p>
  </w:endnote>
  <w:endnote w:type="continuationSeparator" w:id="0">
    <w:p w14:paraId="03178AE5" w14:textId="77777777" w:rsidR="00FE03B5" w:rsidRDefault="00FE03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59846" w14:textId="77777777" w:rsidR="000F7429" w:rsidRDefault="00223D5B">
    <w:pPr>
      <w:pStyle w:val="Rodap"/>
      <w:jc w:val="center"/>
    </w:pPr>
    <w:r>
      <w:fldChar w:fldCharType="begin"/>
    </w:r>
    <w:r>
      <w:instrText>PAGE</w:instrText>
    </w:r>
    <w:r>
      <w:fldChar w:fldCharType="separate"/>
    </w:r>
    <w:r w:rsidR="00BA080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BAA48" w14:textId="77777777" w:rsidR="00FE03B5" w:rsidRDefault="00FE03B5">
      <w:pPr>
        <w:spacing w:after="0" w:line="240" w:lineRule="auto"/>
      </w:pPr>
      <w:r>
        <w:separator/>
      </w:r>
    </w:p>
  </w:footnote>
  <w:footnote w:type="continuationSeparator" w:id="0">
    <w:p w14:paraId="14F789CB" w14:textId="77777777" w:rsidR="00FE03B5" w:rsidRDefault="00FE03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EE019" w14:textId="3F1A3D8E" w:rsidR="000F7429" w:rsidRDefault="00223D5B">
    <w:pPr>
      <w:pStyle w:val="Cabealho"/>
      <w:jc w:val="right"/>
    </w:pPr>
    <w:r>
      <w:rPr>
        <w:color w:val="646464"/>
        <w:sz w:val="18"/>
      </w:rPr>
      <w:t xml:space="preserve">Big Data Laboratory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mmarc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mmarc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mmarcas"/>
      <w:lvlText w:val=""/>
      <w:lvlJc w:val="left"/>
      <w:pPr>
        <w:tabs>
          <w:tab w:val="num" w:pos="360"/>
        </w:tabs>
        <w:ind w:left="360" w:hanging="360"/>
      </w:pPr>
      <w:rPr>
        <w:rFonts w:ascii="Symbol" w:hAnsi="Symbol" w:hint="default"/>
      </w:rPr>
    </w:lvl>
  </w:abstractNum>
  <w:num w:numId="1" w16cid:durableId="913010982">
    <w:abstractNumId w:val="8"/>
  </w:num>
  <w:num w:numId="2" w16cid:durableId="1894728801">
    <w:abstractNumId w:val="6"/>
  </w:num>
  <w:num w:numId="3" w16cid:durableId="262962481">
    <w:abstractNumId w:val="5"/>
  </w:num>
  <w:num w:numId="4" w16cid:durableId="1513449298">
    <w:abstractNumId w:val="4"/>
  </w:num>
  <w:num w:numId="5" w16cid:durableId="807478726">
    <w:abstractNumId w:val="7"/>
  </w:num>
  <w:num w:numId="6" w16cid:durableId="955720173">
    <w:abstractNumId w:val="3"/>
  </w:num>
  <w:num w:numId="7" w16cid:durableId="2109039149">
    <w:abstractNumId w:val="2"/>
  </w:num>
  <w:num w:numId="8" w16cid:durableId="1042366542">
    <w:abstractNumId w:val="1"/>
  </w:num>
  <w:num w:numId="9" w16cid:durableId="921378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1590"/>
    <w:rsid w:val="000F7429"/>
    <w:rsid w:val="0015074B"/>
    <w:rsid w:val="00223D5B"/>
    <w:rsid w:val="0029639D"/>
    <w:rsid w:val="00326F90"/>
    <w:rsid w:val="00374783"/>
    <w:rsid w:val="00717483"/>
    <w:rsid w:val="009C000B"/>
    <w:rsid w:val="00AA1D8D"/>
    <w:rsid w:val="00AD6A90"/>
    <w:rsid w:val="00B47730"/>
    <w:rsid w:val="00BA0809"/>
    <w:rsid w:val="00CB0664"/>
    <w:rsid w:val="00D43D50"/>
    <w:rsid w:val="00DC4780"/>
    <w:rsid w:val="00E44597"/>
    <w:rsid w:val="00EE0EA7"/>
    <w:rsid w:val="00FC693F"/>
    <w:rsid w:val="00FE03B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E274C6"/>
  <w14:defaultImageDpi w14:val="300"/>
  <w15:docId w15:val="{0167F47A-3EC5-45BE-AA9A-6D955CFD3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60" w:lineRule="auto"/>
    </w:pPr>
    <w:rPr>
      <w:rFonts w:ascii="Aptos" w:hAnsi="Aptos"/>
    </w:rPr>
  </w:style>
  <w:style w:type="paragraph" w:styleId="Ttulo1">
    <w:name w:val="heading 1"/>
    <w:basedOn w:val="Normal"/>
    <w:next w:val="Normal"/>
    <w:link w:val="Ttulo1Carter"/>
    <w:uiPriority w:val="9"/>
    <w:qFormat/>
    <w:rsid w:val="00071590"/>
    <w:pPr>
      <w:keepNext/>
      <w:keepLines/>
      <w:spacing w:before="200" w:after="120"/>
      <w:outlineLvl w:val="0"/>
    </w:pPr>
    <w:rPr>
      <w:rFonts w:asciiTheme="majorHAnsi" w:eastAsiaTheme="majorEastAsia" w:hAnsiTheme="majorHAnsi" w:cstheme="majorBidi"/>
      <w:b/>
      <w:bCs/>
      <w:color w:val="000000" w:themeColor="text1"/>
      <w:sz w:val="28"/>
      <w:szCs w:val="28"/>
    </w:rPr>
  </w:style>
  <w:style w:type="paragraph" w:styleId="Ttulo2">
    <w:name w:val="heading 2"/>
    <w:basedOn w:val="Normal"/>
    <w:next w:val="Normal"/>
    <w:link w:val="Ttulo2Carter"/>
    <w:uiPriority w:val="9"/>
    <w:unhideWhenUsed/>
    <w:qFormat/>
    <w:rsid w:val="00FC693F"/>
    <w:pPr>
      <w:keepNext/>
      <w:keepLines/>
      <w:spacing w:before="200" w:after="120"/>
      <w:outlineLvl w:val="1"/>
    </w:pPr>
    <w:rPr>
      <w:rFonts w:asciiTheme="majorHAnsi" w:eastAsiaTheme="majorEastAsia" w:hAnsiTheme="majorHAnsi" w:cstheme="majorBidi"/>
      <w:b/>
      <w:bCs/>
      <w:color w:val="244062"/>
      <w:sz w:val="24"/>
      <w:szCs w:val="26"/>
    </w:rPr>
  </w:style>
  <w:style w:type="paragraph" w:styleId="Ttulo3">
    <w:name w:val="heading 3"/>
    <w:basedOn w:val="Normal"/>
    <w:next w:val="Normal"/>
    <w:link w:val="Ttulo3Carte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te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te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te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te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te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te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unhideWhenUsed/>
    <w:rsid w:val="00E618BF"/>
    <w:pPr>
      <w:tabs>
        <w:tab w:val="center" w:pos="4680"/>
        <w:tab w:val="right" w:pos="9360"/>
      </w:tabs>
      <w:spacing w:after="0" w:line="240" w:lineRule="auto"/>
    </w:pPr>
  </w:style>
  <w:style w:type="character" w:customStyle="1" w:styleId="CabealhoCarter">
    <w:name w:val="Cabeçalho Caráter"/>
    <w:basedOn w:val="Tipodeletrapredefinidodopargrafo"/>
    <w:link w:val="Cabealho"/>
    <w:uiPriority w:val="99"/>
    <w:rsid w:val="00E618BF"/>
  </w:style>
  <w:style w:type="paragraph" w:styleId="Rodap">
    <w:name w:val="footer"/>
    <w:basedOn w:val="Normal"/>
    <w:link w:val="RodapCarter"/>
    <w:uiPriority w:val="99"/>
    <w:unhideWhenUsed/>
    <w:rsid w:val="00E618BF"/>
    <w:pPr>
      <w:tabs>
        <w:tab w:val="center" w:pos="4680"/>
        <w:tab w:val="right" w:pos="9360"/>
      </w:tabs>
      <w:spacing w:after="0" w:line="240" w:lineRule="auto"/>
    </w:pPr>
  </w:style>
  <w:style w:type="character" w:customStyle="1" w:styleId="RodapCarter">
    <w:name w:val="Rodapé Caráter"/>
    <w:basedOn w:val="Tipodeletrapredefinidodopargraf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arter">
    <w:name w:val="Título 1 Caráter"/>
    <w:basedOn w:val="Tipodeletrapredefinidodopargrafo"/>
    <w:link w:val="Ttulo1"/>
    <w:uiPriority w:val="9"/>
    <w:rsid w:val="00071590"/>
    <w:rPr>
      <w:rFonts w:asciiTheme="majorHAnsi" w:eastAsiaTheme="majorEastAsia" w:hAnsiTheme="majorHAnsi" w:cstheme="majorBidi"/>
      <w:b/>
      <w:bCs/>
      <w:color w:val="000000" w:themeColor="text1"/>
      <w:sz w:val="28"/>
      <w:szCs w:val="28"/>
    </w:rPr>
  </w:style>
  <w:style w:type="character" w:customStyle="1" w:styleId="Ttulo2Carter">
    <w:name w:val="Título 2 Caráter"/>
    <w:basedOn w:val="Tipodeletrapredefinidodopargraf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ter">
    <w:name w:val="Título 3 Caráter"/>
    <w:basedOn w:val="Tipodeletrapredefinidodopargraf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ter"/>
    <w:uiPriority w:val="10"/>
    <w:qFormat/>
    <w:rsid w:val="00FC693F"/>
    <w:pPr>
      <w:pBdr>
        <w:bottom w:val="single" w:sz="8" w:space="4" w:color="000000"/>
      </w:pBdr>
      <w:spacing w:before="200" w:after="120" w:line="240" w:lineRule="auto"/>
      <w:contextualSpacing/>
    </w:pPr>
    <w:rPr>
      <w:rFonts w:asciiTheme="majorHAnsi" w:eastAsiaTheme="majorEastAsia" w:hAnsiTheme="majorHAnsi" w:cstheme="majorBidi"/>
      <w:b/>
      <w:color w:val="17365D"/>
      <w:spacing w:val="5"/>
      <w:kern w:val="28"/>
      <w:sz w:val="38"/>
      <w:szCs w:val="52"/>
    </w:rPr>
  </w:style>
  <w:style w:type="character" w:customStyle="1" w:styleId="TtuloCarter">
    <w:name w:val="Título Caráter"/>
    <w:basedOn w:val="Tipodeletrapredefinidodopargraf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ter"/>
    <w:uiPriority w:val="11"/>
    <w:qFormat/>
    <w:rsid w:val="00FC693F"/>
    <w:pPr>
      <w:numPr>
        <w:ilvl w:val="1"/>
      </w:numPr>
      <w:spacing w:before="200" w:after="120"/>
    </w:pPr>
    <w:rPr>
      <w:rFonts w:asciiTheme="majorHAnsi" w:eastAsiaTheme="majorEastAsia" w:hAnsiTheme="majorHAnsi" w:cstheme="majorBidi"/>
      <w:i/>
      <w:iCs/>
      <w:color w:val="404040"/>
      <w:spacing w:val="15"/>
      <w:sz w:val="24"/>
      <w:szCs w:val="24"/>
    </w:rPr>
  </w:style>
  <w:style w:type="character" w:customStyle="1" w:styleId="SubttuloCarter">
    <w:name w:val="Subtítulo Caráter"/>
    <w:basedOn w:val="Tipodeletrapredefinidodopargraf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arter"/>
    <w:uiPriority w:val="99"/>
    <w:unhideWhenUsed/>
    <w:rsid w:val="00AA1D8D"/>
    <w:pPr>
      <w:spacing w:after="120"/>
    </w:pPr>
  </w:style>
  <w:style w:type="character" w:customStyle="1" w:styleId="CorpodetextoCarter">
    <w:name w:val="Corpo de texto Caráter"/>
    <w:basedOn w:val="Tipodeletrapredefinidodopargrafo"/>
    <w:link w:val="Corpodetexto"/>
    <w:uiPriority w:val="99"/>
    <w:rsid w:val="00AA1D8D"/>
  </w:style>
  <w:style w:type="paragraph" w:styleId="Corpodetexto2">
    <w:name w:val="Body Text 2"/>
    <w:basedOn w:val="Normal"/>
    <w:link w:val="Corpodetexto2Carter"/>
    <w:uiPriority w:val="99"/>
    <w:unhideWhenUsed/>
    <w:rsid w:val="00AA1D8D"/>
    <w:pPr>
      <w:spacing w:after="120" w:line="480" w:lineRule="auto"/>
    </w:pPr>
  </w:style>
  <w:style w:type="character" w:customStyle="1" w:styleId="Corpodetexto2Carter">
    <w:name w:val="Corpo de texto 2 Caráter"/>
    <w:basedOn w:val="Tipodeletrapredefinidodopargrafo"/>
    <w:link w:val="Corpodetexto2"/>
    <w:uiPriority w:val="99"/>
    <w:rsid w:val="00AA1D8D"/>
  </w:style>
  <w:style w:type="paragraph" w:styleId="Corpodetexto3">
    <w:name w:val="Body Text 3"/>
    <w:basedOn w:val="Normal"/>
    <w:link w:val="Corpodetexto3Carter"/>
    <w:uiPriority w:val="99"/>
    <w:unhideWhenUsed/>
    <w:rsid w:val="00AA1D8D"/>
    <w:pPr>
      <w:spacing w:after="120"/>
    </w:pPr>
    <w:rPr>
      <w:sz w:val="16"/>
      <w:szCs w:val="16"/>
    </w:rPr>
  </w:style>
  <w:style w:type="character" w:customStyle="1" w:styleId="Corpodetexto3Carter">
    <w:name w:val="Corpo de texto 3 Caráter"/>
    <w:basedOn w:val="Tipodeletrapredefinidodopargraf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mmarcas">
    <w:name w:val="List Bullet"/>
    <w:basedOn w:val="Normal"/>
    <w:uiPriority w:val="99"/>
    <w:unhideWhenUsed/>
    <w:rsid w:val="00326F90"/>
    <w:pPr>
      <w:numPr>
        <w:numId w:val="1"/>
      </w:numPr>
      <w:contextualSpacing/>
    </w:pPr>
  </w:style>
  <w:style w:type="paragraph" w:styleId="Listacommarcas2">
    <w:name w:val="List Bullet 2"/>
    <w:basedOn w:val="Normal"/>
    <w:uiPriority w:val="99"/>
    <w:unhideWhenUsed/>
    <w:rsid w:val="00326F90"/>
    <w:pPr>
      <w:numPr>
        <w:numId w:val="2"/>
      </w:numPr>
      <w:contextualSpacing/>
    </w:pPr>
  </w:style>
  <w:style w:type="paragraph" w:styleId="Listacommarcas3">
    <w:name w:val="List Bullet 3"/>
    <w:basedOn w:val="Normal"/>
    <w:uiPriority w:val="99"/>
    <w:unhideWhenUsed/>
    <w:rsid w:val="00326F90"/>
    <w:pPr>
      <w:numPr>
        <w:numId w:val="3"/>
      </w:numPr>
      <w:contextualSpacing/>
    </w:pPr>
  </w:style>
  <w:style w:type="paragraph" w:styleId="Listanumerada">
    <w:name w:val="List Number"/>
    <w:basedOn w:val="Normal"/>
    <w:uiPriority w:val="99"/>
    <w:unhideWhenUsed/>
    <w:rsid w:val="00326F90"/>
    <w:pPr>
      <w:numPr>
        <w:numId w:val="5"/>
      </w:numPr>
      <w:contextualSpacing/>
    </w:pPr>
  </w:style>
  <w:style w:type="paragraph" w:styleId="Listanumerada2">
    <w:name w:val="List Number 2"/>
    <w:basedOn w:val="Normal"/>
    <w:uiPriority w:val="99"/>
    <w:unhideWhenUsed/>
    <w:rsid w:val="0029639D"/>
    <w:pPr>
      <w:numPr>
        <w:numId w:val="6"/>
      </w:numPr>
      <w:contextualSpacing/>
    </w:pPr>
  </w:style>
  <w:style w:type="paragraph" w:styleId="Listanumerada3">
    <w:name w:val="List Number 3"/>
    <w:basedOn w:val="Normal"/>
    <w:uiPriority w:val="99"/>
    <w:unhideWhenUsed/>
    <w:rsid w:val="0029639D"/>
    <w:pPr>
      <w:numPr>
        <w:numId w:val="7"/>
      </w:numPr>
      <w:contextualSpacing/>
    </w:pPr>
  </w:style>
  <w:style w:type="paragraph" w:styleId="Listadecont">
    <w:name w:val="List Continue"/>
    <w:basedOn w:val="Normal"/>
    <w:uiPriority w:val="99"/>
    <w:unhideWhenUsed/>
    <w:rsid w:val="0029639D"/>
    <w:pPr>
      <w:spacing w:after="120"/>
      <w:ind w:left="360"/>
      <w:contextualSpacing/>
    </w:pPr>
  </w:style>
  <w:style w:type="paragraph" w:styleId="Listadecont2">
    <w:name w:val="List Continue 2"/>
    <w:basedOn w:val="Normal"/>
    <w:uiPriority w:val="99"/>
    <w:unhideWhenUsed/>
    <w:rsid w:val="0029639D"/>
    <w:pPr>
      <w:spacing w:after="120"/>
      <w:ind w:left="720"/>
      <w:contextualSpacing/>
    </w:pPr>
  </w:style>
  <w:style w:type="paragraph" w:styleId="Listadecont3">
    <w:name w:val="List Continue 3"/>
    <w:basedOn w:val="Normal"/>
    <w:uiPriority w:val="99"/>
    <w:unhideWhenUsed/>
    <w:rsid w:val="0029639D"/>
    <w:pPr>
      <w:spacing w:after="120"/>
      <w:ind w:left="1080"/>
      <w:contextualSpacing/>
    </w:pPr>
  </w:style>
  <w:style w:type="paragraph" w:styleId="Textodemacro">
    <w:name w:val="macro"/>
    <w:link w:val="TextodemacroCarte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arter">
    <w:name w:val="Texto de macro Caráter"/>
    <w:basedOn w:val="Tipodeletrapredefinidodopargrafo"/>
    <w:link w:val="Textodemacro"/>
    <w:uiPriority w:val="99"/>
    <w:rsid w:val="0029639D"/>
    <w:rPr>
      <w:rFonts w:ascii="Courier" w:hAnsi="Courier"/>
      <w:sz w:val="20"/>
      <w:szCs w:val="20"/>
    </w:rPr>
  </w:style>
  <w:style w:type="paragraph" w:styleId="Citao">
    <w:name w:val="Quote"/>
    <w:basedOn w:val="Normal"/>
    <w:next w:val="Normal"/>
    <w:link w:val="CitaoCarter"/>
    <w:uiPriority w:val="29"/>
    <w:qFormat/>
    <w:rsid w:val="00FC693F"/>
    <w:rPr>
      <w:i/>
      <w:iCs/>
      <w:color w:val="000000" w:themeColor="text1"/>
    </w:rPr>
  </w:style>
  <w:style w:type="character" w:customStyle="1" w:styleId="CitaoCarter">
    <w:name w:val="Citação Caráter"/>
    <w:basedOn w:val="Tipodeletrapredefinidodopargrafo"/>
    <w:link w:val="Citao"/>
    <w:uiPriority w:val="29"/>
    <w:rsid w:val="00FC693F"/>
    <w:rPr>
      <w:i/>
      <w:iCs/>
      <w:color w:val="000000" w:themeColor="text1"/>
    </w:rPr>
  </w:style>
  <w:style w:type="character" w:customStyle="1" w:styleId="Ttulo4Carter">
    <w:name w:val="Título 4 Caráter"/>
    <w:basedOn w:val="Tipodeletrapredefinidodopargraf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ter">
    <w:name w:val="Título 5 Caráter"/>
    <w:basedOn w:val="Tipodeletrapredefinidodopargraf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ter">
    <w:name w:val="Título 6 Caráter"/>
    <w:basedOn w:val="Tipodeletrapredefinidodopargraf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ter">
    <w:name w:val="Título 7 Caráter"/>
    <w:basedOn w:val="Tipodeletrapredefinidodopargraf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ter">
    <w:name w:val="Título 8 Caráter"/>
    <w:basedOn w:val="Tipodeletrapredefinidodopargraf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ter">
    <w:name w:val="Título 9 Caráter"/>
    <w:basedOn w:val="Tipodeletrapredefinidodopargraf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Tipodeletrapredefinidodopargrafo"/>
    <w:uiPriority w:val="22"/>
    <w:qFormat/>
    <w:rsid w:val="00FC693F"/>
    <w:rPr>
      <w:b/>
      <w:bCs/>
    </w:rPr>
  </w:style>
  <w:style w:type="character" w:styleId="nfase">
    <w:name w:val="Emphasis"/>
    <w:basedOn w:val="Tipodeletrapredefinidodopargrafo"/>
    <w:uiPriority w:val="20"/>
    <w:qFormat/>
    <w:rsid w:val="00FC693F"/>
    <w:rPr>
      <w:i/>
      <w:iCs/>
    </w:rPr>
  </w:style>
  <w:style w:type="paragraph" w:styleId="CitaoIntensa">
    <w:name w:val="Intense Quote"/>
    <w:basedOn w:val="Normal"/>
    <w:next w:val="Normal"/>
    <w:link w:val="CitaoIntensaCarte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arter">
    <w:name w:val="Citação Intensa Caráter"/>
    <w:basedOn w:val="Tipodeletrapredefinidodopargrafo"/>
    <w:link w:val="CitaoIntensa"/>
    <w:uiPriority w:val="30"/>
    <w:rsid w:val="00FC693F"/>
    <w:rPr>
      <w:b/>
      <w:bCs/>
      <w:i/>
      <w:iCs/>
      <w:color w:val="4F81BD" w:themeColor="accent1"/>
    </w:rPr>
  </w:style>
  <w:style w:type="character" w:styleId="nfaseDiscreta">
    <w:name w:val="Subtle Emphasis"/>
    <w:basedOn w:val="Tipodeletrapredefinidodopargrafo"/>
    <w:uiPriority w:val="19"/>
    <w:qFormat/>
    <w:rsid w:val="00FC693F"/>
    <w:rPr>
      <w:i/>
      <w:iCs/>
      <w:color w:val="808080" w:themeColor="text1" w:themeTint="7F"/>
    </w:rPr>
  </w:style>
  <w:style w:type="character" w:styleId="nfaseIntensa">
    <w:name w:val="Intense Emphasis"/>
    <w:basedOn w:val="Tipodeletrapredefinidodopargrafo"/>
    <w:uiPriority w:val="21"/>
    <w:qFormat/>
    <w:rsid w:val="00FC693F"/>
    <w:rPr>
      <w:b/>
      <w:bCs/>
      <w:i/>
      <w:iCs/>
      <w:color w:val="4F81BD" w:themeColor="accent1"/>
    </w:rPr>
  </w:style>
  <w:style w:type="character" w:styleId="RefernciaDiscreta">
    <w:name w:val="Subtle Reference"/>
    <w:basedOn w:val="Tipodeletrapredefinidodopargrafo"/>
    <w:uiPriority w:val="31"/>
    <w:qFormat/>
    <w:rsid w:val="00FC693F"/>
    <w:rPr>
      <w:smallCaps/>
      <w:color w:val="C0504D" w:themeColor="accent2"/>
      <w:u w:val="single"/>
    </w:rPr>
  </w:style>
  <w:style w:type="character" w:styleId="RefernciaIntensa">
    <w:name w:val="Intense Reference"/>
    <w:basedOn w:val="Tipodeletrapredefinidodopargrafo"/>
    <w:uiPriority w:val="32"/>
    <w:qFormat/>
    <w:rsid w:val="00FC693F"/>
    <w:rPr>
      <w:b/>
      <w:bCs/>
      <w:smallCaps/>
      <w:color w:val="C0504D" w:themeColor="accent2"/>
      <w:spacing w:val="5"/>
      <w:u w:val="single"/>
    </w:rPr>
  </w:style>
  <w:style w:type="character" w:styleId="TtulodoLivro">
    <w:name w:val="Book Title"/>
    <w:basedOn w:val="Tipodeletrapredefinidodopargrafo"/>
    <w:uiPriority w:val="33"/>
    <w:qFormat/>
    <w:rsid w:val="00FC693F"/>
    <w:rPr>
      <w:b/>
      <w:bCs/>
      <w:smallCaps/>
      <w:spacing w:val="5"/>
    </w:rPr>
  </w:style>
  <w:style w:type="paragraph" w:styleId="Cabealhodondice">
    <w:name w:val="TOC Heading"/>
    <w:basedOn w:val="Ttulo1"/>
    <w:next w:val="Normal"/>
    <w:uiPriority w:val="39"/>
    <w:semiHidden/>
    <w:unhideWhenUsed/>
    <w:qFormat/>
    <w:rsid w:val="00FC693F"/>
    <w:pPr>
      <w:outlineLvl w:val="9"/>
    </w:pPr>
  </w:style>
  <w:style w:type="table" w:styleId="TabelacomGrelha">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Cor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Cor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Cor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Cor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Cor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Cor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Cor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Cor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Cor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Cor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Cor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Cor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elha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elhaClara-Cor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elhaClara-Cor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elhaClara-Cor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elhaClara-Cor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elhaClara-Cor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elhaClara-Cor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dio1-Cor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dio1-Cor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dio1-Cor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dio1-Cor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dio1-Cor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dio1-Cor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Cor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Cor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Cor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Cor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Cor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Cor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elha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Mdia1-Cor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Mdia1-Cor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Mdia1-Cor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Mdia1-Cor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Mdia1-Cor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Mdia1-Cor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elha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elhaMdia2-Cor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elhaMdia2-Cor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elhaMdia2-Cor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elhaMdia2-Cor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elhaMdia2-Cor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elhaMdia2-Cor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elha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elhaMdia3-Cor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elhaMdia3-Cor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elhaMdia3-Cor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elhaMdia3-Cor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elhaMdia3-Cor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elhaMdia3-Cor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Cor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Cor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Cor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Cor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Cor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Cor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Colorido-Cor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Colorido-Cor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Colorido-Cor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Colorido-Cor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Colorido-Cor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Colorido-Cor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Cor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Cor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Cor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Cor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Cor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Cor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elha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Colorida-Cor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Colorida-Cor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Colorida-Cor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Colorida-Cor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Colorida-Cor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Colorida-Cor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527</Words>
  <Characters>3004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Gonçalo Teixeira (1200882)</cp:lastModifiedBy>
  <cp:revision>5</cp:revision>
  <dcterms:created xsi:type="dcterms:W3CDTF">2026-10-12T17:34:00Z</dcterms:created>
  <dcterms:modified xsi:type="dcterms:W3CDTF">2026-10-12T17:43:00Z</dcterms:modified>
  <cp:category/>
</cp:coreProperties>
</file>