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Sistemas de Recomendação — 2025/2026</w:t>
      </w:r>
    </w:p>
    <w:p>
      <w:pPr>
        <w:spacing w:after="80"/>
        <w:jc w:val="center"/>
      </w:pPr>
      <w:r>
        <w:rPr>
          <w:b/>
          <w:bCs/>
          <w:sz w:val="44"/>
          <w:szCs w:val="44"/>
        </w:rPr>
        <w:t xml:space="preserve">SISREC — Sistema de Recomendação Híbrido</w:t>
      </w:r>
    </w:p>
    <w:p>
      <w:pPr>
        <w:spacing w:after="60"/>
        <w:jc w:val="center"/>
      </w:pPr>
      <w:r>
        <w:rPr>
          <w:color w:val="595959"/>
          <w:sz w:val="26"/>
          <w:szCs w:val="26"/>
        </w:rPr>
        <w:t xml:space="preserve">Recomendação de restaurantes sobre o Yelp Open Dataset</w:t>
      </w:r>
    </w:p>
    <w:p>
      <w:pPr>
        <w:pBdr>
          <w:bottom w:val="single" w:color="2E75B6" w:sz="6" w:space="1"/>
        </w:pBdr>
        <w:spacing w:after="60" w:before="60"/>
        <w:jc w:val="center"/>
      </w:pPr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"/>
        <w:jc w:val="center"/>
      </w:pPr>
      <w:r>
        <w:rPr>
          <w:b/>
          <w:bCs/>
          <w:color w:val="2E75B6"/>
          <w:sz w:val="30"/>
          <w:szCs w:val="30"/>
        </w:rPr>
        <w:t xml:space="preserve">Relatório Final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Turma: &lt;Turma&gt;      Grupo: &lt;Grupo&gt;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Elementos do grupo: &lt;Nome 1&gt;, &lt;Nome 2&gt;, &lt;Nome 3&gt;</w:t>
      </w:r>
    </w:p>
    <w:p>
      <w:pPr>
        <w:jc w:val="center"/>
      </w:pPr>
      <w:r>
        <w:rPr>
          <w:color w:val="595959"/>
          <w:sz w:val="22"/>
          <w:szCs w:val="22"/>
        </w:rPr>
        <w:t xml:space="preserve">Junho de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spacing w:after="140" w:line="276"/>
        <w:jc w:val="both"/>
      </w:pPr>
      <w:r>
        <w:t xml:space="preserve">Os Sistemas de Recomendação (SR) ajudam os utilizadores a navegar catálogos extensos, sugerindo itens relevantes a partir do seu comportamento e preferências. Este projeto desenvolve um Sistema de Recomendação Híbrido para o domínio da restauração, suportado por uma Web API e por uma aplicação web, usando o Yelp Open Dataset como fonte de dados.</w:t>
      </w:r>
    </w:p>
    <w:p>
      <w:pPr>
        <w:spacing w:after="140" w:line="276"/>
        <w:jc w:val="both"/>
      </w:pPr>
      <w:r>
        <w:t xml:space="preserve">O sistema combina três famílias de abordagens — Collaborative/Social Filtering, Content-Based Filtering e conhecimento de perfil — numa estratégia híbrida ponderada (weighted). O objetivo é mitigar as limitações de cada abordagem isolada, em particular o problema do arranque a frio (cold start) de utilizadores e de itens, e melhorar a qualidade das recomendações face a uma única técnica.</w:t>
      </w:r>
    </w:p>
    <w:p>
      <w:pPr>
        <w:spacing w:after="140" w:line="276"/>
        <w:jc w:val="both"/>
      </w:pPr>
      <w:r>
        <w:t xml:space="preserve">Este relatório descreve o estado da arte, a especificação técnica (dataset, funcionalidades, arquitetura e algoritmos), as estratégias de cold start, e a experimentação que compara a solução híbrida com as abordagens individuais. Inclui ainda análise crítica, conclusões, referências e a declaração de utilização de ferramentas de IA generativa.</w:t>
      </w:r>
    </w:p>
    <w:p>
      <w:pPr>
        <w:pStyle w:val="Heading1"/>
      </w:pPr>
      <w:r>
        <w:t xml:space="preserve">2. Estado da arte</w:t>
      </w:r>
    </w:p>
    <w:p>
      <w:pPr>
        <w:spacing w:after="140" w:line="276"/>
        <w:jc w:val="both"/>
      </w:pPr>
      <w:r>
        <w:t xml:space="preserve">A literatura de SR organiza-se em três grandes paradigmas. A Filtragem Colaborativa (Collaborative Filtering, CF) recomenda itens com base em padrões de avaliação de utilizadores semelhantes; as variantes baseadas em vizinhança (user-based e item-based KNN) usam medidas de similaridade como o cosseno ou Pearson (Sarwar et al., 2001; Herlocker et al., 1999). A Filtragem Baseada em Conteúdo (Content-Based, CBF) recomenda itens semelhantes aos que o utilizador apreciou, comparando descritores (no domínio da restauração, categorias e atributos). A Recomendação Baseada em Conhecimento usa regras e preferências explícitas, útil quando há poucos dados de interação.</w:t>
      </w:r>
    </w:p>
    <w:p>
      <w:pPr>
        <w:spacing w:after="140" w:line="276"/>
        <w:jc w:val="both"/>
      </w:pPr>
      <w:r>
        <w:t xml:space="preserve">Burke (2002) sistematiza as estratégias </w:t>
      </w:r>
      <w:r>
        <w:rPr>
          <w:i/>
          <w:iCs/>
        </w:rPr>
        <w:t xml:space="preserve">híbridas</w:t>
      </w:r>
      <w:r>
        <w:t xml:space="preserve"> em sete tipos: weighted, switching, mixed, feature combination, cascade, feature augmentation e meta-level. A combinação de CF e CBF é a mais comum porque cada técnica cobre as fraquezas da outra: a CF sofre de cold start (itens/utilizadores novos sem avaliações) e de esparsidade, enquanto a CBF tende à sobre-especialização. A abordagem </w:t>
      </w:r>
      <w:r>
        <w:rPr>
          <w:i/>
          <w:iCs/>
        </w:rPr>
        <w:t xml:space="preserve">weighted</w:t>
      </w:r>
      <w:r>
        <w:t xml:space="preserve"> combina as pontuações de vários recomendadores numa soma ponderada, sendo simples de interpretar e de afinar.</w:t>
      </w:r>
    </w:p>
    <w:p>
      <w:pPr>
        <w:spacing w:after="140" w:line="276"/>
        <w:jc w:val="both"/>
      </w:pPr>
      <w:r>
        <w:t xml:space="preserve">No domínio específico de restaurantes e reviews, o Yelp Open Dataset é amplamente utilizado em investigação e competições (Kaggle), oferecendo avaliações (stars), texto, categorias, atributos e horários. Trabalhos típicos exploram CF, modelos baseados em conteúdo sobre categorias/atributos, e sinais contextuais (localização, horário de funcionamento) — explorados também neste projeto através de uma componente contextual de período de refeição.</w:t>
      </w:r>
    </w:p>
    <w:p>
      <w:pPr>
        <w:spacing w:after="140" w:line="276"/>
        <w:jc w:val="both"/>
      </w:pPr>
      <w:r>
        <w:t xml:space="preserve">A avaliação de SR distingue métricas de erro de predição de rating (RMSE, MAE) de métricas de qualidade de ranking (Precision@K, Recall@K, MAP@K, NDCG@K). A escolha depende do objetivo: prever a nota exata versus ordenar bem os itens relevantes (Herlocker et al., 2004).</w:t>
      </w:r>
    </w:p>
    <w:p>
      <w:pPr>
        <w:pStyle w:val="Heading1"/>
      </w:pPr>
      <w:r>
        <w:t xml:space="preserve">3. Especificação técnica</w:t>
      </w:r>
    </w:p>
    <w:p>
      <w:pPr>
        <w:pStyle w:val="Heading2"/>
      </w:pPr>
      <w:r>
        <w:t xml:space="preserve">3.1. Dataset</w:t>
      </w:r>
    </w:p>
    <w:p>
      <w:pPr>
        <w:spacing w:after="140" w:line="276"/>
        <w:jc w:val="both"/>
      </w:pPr>
      <w:r>
        <w:t xml:space="preserve">O sistema usa um subconjunto do Yelp Open Dataset, complementado por um ficheiro de pessoas sintéticas para enriquecimento demográfico dos perfis. Os volumes são: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600"/>
        <w:gridCol w:w="1300"/>
        <w:gridCol w:w="5126"/>
      </w:tblGrid>
      <w:tr>
        <w:trPr>
          <w:tblHeader/>
        </w:trPr>
        <w:tc>
          <w:tcPr>
            <w:tcW w:type="dxa" w:w="26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Ficheiro</w:t>
            </w:r>
          </w:p>
        </w:tc>
        <w:tc>
          <w:tcPr>
            <w:tcW w:type="dxa" w:w="13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Registos</w:t>
            </w:r>
          </w:p>
        </w:tc>
        <w:tc>
          <w:tcPr>
            <w:tcW w:type="dxa" w:w="5126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business_final.json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18 806</w:t>
            </w:r>
          </w:p>
        </w:tc>
        <w:tc>
          <w:tcPr>
            <w:tcW w:type="dxa" w:w="51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Negócios (restaurantes): nome, morada, cidade, estado, coordenadas, stars, review_count, is_open, categorias, atributos, horários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review_final.json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29 243</w:t>
            </w:r>
          </w:p>
        </w:tc>
        <w:tc>
          <w:tcPr>
            <w:tcW w:type="dxa" w:w="51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Avaliações: user_id, business_id, stars (1–5), texto, útil/funny/cool, data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user_final.json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300</w:t>
            </w:r>
          </w:p>
        </w:tc>
        <w:tc>
          <w:tcPr>
            <w:tcW w:type="dxa" w:w="51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Utilizadores do dataset: identificação, amigos e estatísticas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person_10000.csv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10 000</w:t>
            </w:r>
          </w:p>
        </w:tc>
        <w:tc>
          <w:tcPr>
            <w:tcW w:type="dxa" w:w="51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Pessoas sintéticas (nome, género, idade, morada, email) para enriquecer perfis</w:t>
            </w:r>
          </w:p>
        </w:tc>
      </w:tr>
    </w:tbl>
    <w:p>
      <w:pPr>
        <w:spacing w:after="140" w:line="276"/>
        <w:jc w:val="both"/>
      </w:pPr>
      <w:r>
        <w:t xml:space="preserve">As entidades persistidas (PostgreSQL) são: </w:t>
      </w:r>
      <w:r>
        <w:rPr>
          <w:b/>
          <w:bCs/>
        </w:rPr>
        <w:t xml:space="preserve">businesses</w:t>
      </w:r>
      <w:r>
        <w:t xml:space="preserve">, </w:t>
      </w:r>
      <w:r>
        <w:rPr>
          <w:b/>
          <w:bCs/>
        </w:rPr>
        <w:t xml:space="preserve">users</w:t>
      </w:r>
      <w:r>
        <w:t xml:space="preserve"> (utilizador do dataset), </w:t>
      </w:r>
      <w:r>
        <w:rPr>
          <w:b/>
          <w:bCs/>
        </w:rPr>
        <w:t xml:space="preserve">reviews</w:t>
      </w:r>
      <w:r>
        <w:t xml:space="preserve">, e as tabelas de aplicação </w:t>
      </w:r>
      <w:r>
        <w:rPr>
          <w:b/>
          <w:bCs/>
        </w:rPr>
        <w:t xml:space="preserve">auth_users</w:t>
      </w:r>
      <w:r>
        <w:t xml:space="preserve">, </w:t>
      </w:r>
      <w:r>
        <w:rPr>
          <w:b/>
          <w:bCs/>
        </w:rPr>
        <w:t xml:space="preserve">auth_user_dataset_links</w:t>
      </w:r>
      <w:r>
        <w:t xml:space="preserve"> e </w:t>
      </w:r>
      <w:r>
        <w:rPr>
          <w:b/>
          <w:bCs/>
        </w:rPr>
        <w:t xml:space="preserve">auth_user_preferences</w:t>
      </w:r>
      <w:r>
        <w:t xml:space="preserve">. As categorias são uma lista textual separada por vírgulas e os atributos/horários são objetos JSON.</w:t>
      </w:r>
    </w:p>
    <w:p>
      <w:pPr>
        <w:pStyle w:val="Heading2"/>
      </w:pPr>
      <w:r>
        <w:t xml:space="preserve">3.2. Funcionalidades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Recomendações não personalizadas para visitantes não autenticados (página inicial e endpoint público).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Registo de utilizadores com inquérito de cold start (categorias preferidas, cidade e faixa de preço); apenas email e password são obrigatórios.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Autenticação por JWT e autorização baseada em propriedade do recurso (cada utilizador só acede e altera os seus próprios dados).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Atribuição de ratings (1–5) e flag de recomendação aos restaurantes.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Atualização dinâmica do perfil do utilizador (categorias preferidas ajustadas pelos ratings) e do item (stars e review_count recalculados a cada avaliação).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Recomendações personalizadas: colaborativas, híbridas completas, previsão de rating para um restaurante e utilizadores semelhantes.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Gestão de perfil: categorias, faixa de preço, amigos (social) e nome.</w:t>
      </w:r>
    </w:p>
    <w:p>
      <w:pPr>
        <w:pStyle w:val="Heading2"/>
      </w:pPr>
      <w:r>
        <w:t xml:space="preserve">3.3. Arquitetura</w:t>
      </w:r>
    </w:p>
    <w:p>
      <w:pPr>
        <w:spacing w:after="140" w:line="276"/>
        <w:jc w:val="both"/>
      </w:pPr>
      <w:r>
        <w:t xml:space="preserve">A solução segue uma arquitetura cliente-servidor desacoplada. O </w:t>
      </w:r>
      <w:r>
        <w:rPr>
          <w:b/>
          <w:bCs/>
        </w:rPr>
        <w:t xml:space="preserve">backend</w:t>
      </w:r>
      <w:r>
        <w:t xml:space="preserve"> é uma Web API em FastAPI (Python) com SQLAlchemy 2.0 sobre PostgreSQL, organizada em routers (auth, users, businesses, reviews, recommendations). O </w:t>
      </w:r>
      <w:r>
        <w:rPr>
          <w:b/>
          <w:bCs/>
        </w:rPr>
        <w:t xml:space="preserve">frontend</w:t>
      </w:r>
      <w:r>
        <w:t xml:space="preserve"> é uma SPA em React 18 + Vite com React Router. A comunicação é via JSON sobre HTTP, com CORS configurável.</w:t>
      </w:r>
    </w:p>
    <w:p>
      <w:pPr>
        <w:spacing w:after="140" w:line="276"/>
        <w:jc w:val="both"/>
      </w:pPr>
      <w:r>
        <w:t xml:space="preserve">Um aspeto central é o </w:t>
      </w:r>
      <w:r>
        <w:rPr>
          <w:b/>
          <w:bCs/>
        </w:rPr>
        <w:t xml:space="preserve">modelo de dupla identidade</w:t>
      </w:r>
      <w:r>
        <w:t xml:space="preserve">: a conta autenticada (auth_users) é ligada a um utilizador do dataset (users) através de uma tabela de associação (auth_user_dataset_links). Isto permite que contas reais herdem o histórico de um utilizador do dataset e que o sistema de recomendação opere sobre o mesmo espaço de identificadores.</w:t>
      </w:r>
    </w:p>
    <w:p>
      <w:pPr>
        <w:spacing w:after="140" w:line="276"/>
        <w:jc w:val="both"/>
      </w:pPr>
      <w:r>
        <w:t xml:space="preserve">A segurança usa JWT (PyJWT) com hashing de password PBKDF2-HMAC-SHA256 e sal por utilizador. Cada pedido a recursos privados apresenta o token em </w:t>
      </w:r>
      <w:r>
        <w:rPr>
          <w:rFonts w:ascii="Courier New" w:cs="Courier New" w:eastAsia="Courier New" w:hAnsi="Courier New"/>
        </w:rPr>
        <w:t xml:space="preserve">Authorization: Bearer</w:t>
      </w:r>
      <w:r>
        <w:t xml:space="preserve">; uma dependência valida o token e a propriedade do recurso, devolvendo 401 (token inválido/expirado) ou 403 (recurso de outro utilizador). No frontend, um wrapper authFetch injeta o token e trata o 401, e um componente ProtectedRoute protege as rotas privadas.</w:t>
      </w:r>
    </w:p>
    <w:p>
      <w:pPr>
        <w:spacing w:after="140" w:line="276"/>
        <w:jc w:val="both"/>
      </w:pPr>
      <w:r>
        <w:t xml:space="preserve">Para desempenho, os mapas utilizador→item e item→utilizador, bem como as normas dos vetores de avaliação, são mantidos em cache (TTL de 30 s) e invalidados quando uma nova review é submetida. A seleção de vizinhos usa um índice invertido item→utilizadores, evitando varrer todos os utilizadores em cada pedido. O esquema da base de dados é gerido com Alembic.</w:t>
      </w:r>
    </w:p>
    <w:p>
      <w:pPr>
        <w:pStyle w:val="Heading2"/>
      </w:pPr>
      <w:r>
        <w:t xml:space="preserve">3.4. Algoritmos implementados</w:t>
      </w:r>
    </w:p>
    <w:p>
      <w:pPr>
        <w:spacing w:after="140" w:line="276"/>
        <w:jc w:val="both"/>
      </w:pPr>
      <w:r>
        <w:rPr>
          <w:b/>
          <w:bCs/>
        </w:rPr>
        <w:t xml:space="preserve">Recomendador não personalizado (baseline).</w:t>
      </w:r>
      <w:r>
        <w:t xml:space="preserve"> Ordenação por classificação ponderada Bayesiana, que equilibra a média do item com a confiança dada pelo número de avaliações:</w:t>
      </w:r>
    </w:p>
    <w:p>
      <w:pPr>
        <w:spacing w:after="140" w:line="276"/>
        <w:jc w:val="center"/>
      </w:pPr>
      <w:r>
        <w:rPr>
          <w:rFonts w:ascii="Courier New" w:cs="Courier New" w:eastAsia="Courier New" w:hAnsi="Courier New"/>
        </w:rPr>
        <w:t xml:space="preserve">score = (v / (v + m)) · R + (m / (v + m)) · C</w:t>
      </w:r>
    </w:p>
    <w:p>
      <w:pPr>
        <w:spacing w:after="140" w:line="276"/>
        <w:jc w:val="both"/>
      </w:pPr>
      <w:r>
        <w:t xml:space="preserve">onde v = nº de avaliações do item, R = média do item, C = média global e m = limiar de confiança (por omissão 50). Itens com poucas avaliações são puxados para a média global, evitando sobrevalorizar itens com uma única avaliação alta.</w:t>
      </w:r>
    </w:p>
    <w:p>
      <w:pPr>
        <w:spacing w:after="140" w:line="276"/>
        <w:jc w:val="both"/>
      </w:pPr>
      <w:r>
        <w:rPr>
          <w:b/>
          <w:bCs/>
        </w:rPr>
        <w:t xml:space="preserve">Filtragem colaborativa (CF).</w:t>
      </w:r>
      <w:r>
        <w:t xml:space="preserve"> KNN user-based com similaridade do cosseno entre vetores de avaliação. A previsão para um item é a média das avaliações dos vizinhos ponderada pela similaridade. Os candidatos a vizinhos são restritos aos utilizadores que partilham pelo menos um item avaliado (índice invertido).</w:t>
      </w:r>
    </w:p>
    <w:p>
      <w:pPr>
        <w:spacing w:after="140" w:line="276"/>
        <w:jc w:val="both"/>
      </w:pPr>
      <w:r>
        <w:rPr>
          <w:b/>
          <w:bCs/>
        </w:rPr>
        <w:t xml:space="preserve">Filtragem baseada em conteúdo (CBF).</w:t>
      </w:r>
      <w:r>
        <w:t xml:space="preserve"> Similaridade de Jaccard sobre conjuntos de características do negócio (categorias e atributos, incluindo atributos aninhados como GoodForMeal). A pontuação de conteúdo de um candidato é a média das similaridades aos itens avaliados, ponderada pelo rating.</w:t>
      </w:r>
    </w:p>
    <w:p>
      <w:pPr>
        <w:spacing w:after="140" w:line="276"/>
        <w:jc w:val="both"/>
      </w:pPr>
      <w:r>
        <w:rPr>
          <w:b/>
          <w:bCs/>
        </w:rPr>
        <w:t xml:space="preserve">Componente de perfil.</w:t>
      </w:r>
      <w:r>
        <w:t xml:space="preserve"> Grau de correspondência entre as categorias preferidas do utilizador e as do candidato, convertido numa pontuação em [1, 5].</w:t>
      </w:r>
    </w:p>
    <w:p>
      <w:pPr>
        <w:spacing w:after="140" w:line="276"/>
        <w:jc w:val="both"/>
      </w:pPr>
      <w:r>
        <w:rPr>
          <w:b/>
          <w:bCs/>
        </w:rPr>
        <w:t xml:space="preserve">Componente social.</w:t>
      </w:r>
      <w:r>
        <w:t xml:space="preserve"> Média das avaliações que os amigos do utilizador deram ao candidato (ativável por preferência use_friends_boost). Concretiza a vertente de Social Filtering.</w:t>
      </w:r>
    </w:p>
    <w:p>
      <w:pPr>
        <w:spacing w:after="140" w:line="276"/>
        <w:jc w:val="both"/>
      </w:pPr>
      <w:r>
        <w:rPr>
          <w:b/>
          <w:bCs/>
        </w:rPr>
        <w:t xml:space="preserve">Solução híbrida (weighted).</w:t>
      </w:r>
      <w:r>
        <w:t xml:space="preserve"> A pontuação final combina as quatro componentes:</w:t>
      </w:r>
    </w:p>
    <w:p>
      <w:pPr>
        <w:spacing w:after="140" w:line="276"/>
        <w:jc w:val="center"/>
      </w:pPr>
      <w:r>
        <w:rPr>
          <w:rFonts w:ascii="Courier New" w:cs="Courier New" w:eastAsia="Courier New" w:hAnsi="Courier New"/>
        </w:rPr>
        <w:t xml:space="preserve">score = 0.50·CF + 0.20·CBF + 0.15·perfil + 0.15·social</w:t>
      </w:r>
    </w:p>
    <w:p>
      <w:pPr>
        <w:spacing w:after="140" w:line="276"/>
        <w:jc w:val="both"/>
      </w:pPr>
      <w:r>
        <w:t xml:space="preserve">Sobre esta pontuação aplicam-se ainda: (i) filtros de cidade e faixa de estrelas preferidas, com fallback (se um filtro esvaziar a lista, é ignorado para garantir resultados); (ii) um sinal contextual de período de refeição (almoço/jantar) baseado nos atributos e horários; e (iii) a injeção de candidatos para cold start de itens (Secção 5). Listas baseadas em conteúdo usam ainda uma distância euclidiana ao item ideal (5 estrelas, muito avaliado) para ordenação.</w:t>
      </w:r>
    </w:p>
    <w:p>
      <w:pPr>
        <w:spacing w:after="140" w:line="276"/>
        <w:jc w:val="both"/>
      </w:pPr>
      <w:r>
        <w:rPr>
          <w:b/>
          <w:bCs/>
        </w:rPr>
        <w:t xml:space="preserve">Justificação da escolha.</w:t>
      </w:r>
      <w:r>
        <w:t xml:space="preserve"> Optou-se pelo tipo weighted por ser transparente e afinável: cada componente tem um peso explícito e interpretável, o que é adequado a um domínio onde queremos combinar gosto pessoal (CF), semelhança de conteúdo (CBF), preferências declaradas (perfil) e influência social (amigos). É também robusto: quando uma componente não tem sinal (ex.: utilizador sem amigos), o seu contributo é nulo e as restantes continuam a ordenar os itens.</w:t>
      </w:r>
    </w:p>
    <w:p>
      <w:pPr>
        <w:pStyle w:val="Heading1"/>
      </w:pPr>
      <w:r>
        <w:t xml:space="preserve">4. Estratégia para Cold Start de utilizadores</w:t>
      </w:r>
    </w:p>
    <w:p>
      <w:pPr>
        <w:spacing w:after="140" w:line="276"/>
        <w:jc w:val="both"/>
      </w:pPr>
      <w:r>
        <w:t xml:space="preserve">Um utilizador novo não tem histórico de avaliações, pelo que a CF não produz recomendações. A estratégia adotada tem três camadas: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Inquérito no registo.</w:t>
      </w:r>
      <w:r>
        <w:t xml:space="preserve"> O formulário de registo recolhe (opcionalmente) categorias preferidas, cidade e faixa de preço, criando de imediato um perfil que alimenta as componentes de conteúdo e de perfil do híbrido.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Fallback por popularidade.</w:t>
      </w:r>
      <w:r>
        <w:t xml:space="preserve"> Enquanto não houver avaliações suficientes, o sistema apresenta as recomendações não personalizadas (classificação Bayesiana), garantindo sugestões de qualidade desde o primeiro acesso.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Atualização dinâmica do perfil.</w:t>
      </w:r>
      <w:r>
        <w:t xml:space="preserve"> À medida que o utilizador avalia, as categorias dos itens muito apreciados (≥ 4) são adicionadas ao perfil e as dos muito penalizados (≤ 2) removidas, fazendo a transição suave de cold start para recomendação personalizada.</w:t>
      </w:r>
    </w:p>
    <w:p>
      <w:pPr>
        <w:pStyle w:val="Heading1"/>
      </w:pPr>
      <w:r>
        <w:t xml:space="preserve">5. Estratégia para Cold Start de itens</w:t>
      </w:r>
    </w:p>
    <w:p>
      <w:pPr>
        <w:spacing w:after="140" w:line="276"/>
        <w:jc w:val="both"/>
      </w:pPr>
      <w:r>
        <w:t xml:space="preserve">Um item novo (poucas ou nenhumas avaliações) é invisível à CF, porque nenhum vizinho o avaliou — nunca entra no conjunto de candidatos colaborativos. A estratégia para o cold start de itens combina: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Injeção de candidatos baseados em conteúdo.</w:t>
      </w:r>
      <w:r>
        <w:t xml:space="preserve"> Para além dos candidatos colaborativos, o híbrido recupera da base de dados negócios cujas categorias correspondem ao perfil/itens apreciados do utilizador, dando prioridade aos que têm menos avaliações. Estes itens entram com pontuação colaborativa nula e são ordenados pela sua adequação de conteúdo/perfil/social.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Boost de exploração.</w:t>
      </w:r>
      <w:r>
        <w:t xml:space="preserve"> Itens com menos de 5 avaliações recebem um pequeno incremento de pontuação, evitando que sejam sempre suplantados pelos itens populares.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Robustez do recomendador não personalizado.</w:t>
      </w:r>
      <w:r>
        <w:t xml:space="preserve"> O parâmetro m da classificação Bayesiana controla quanta confiança é exigida, evitando expor itens com avaliação insuficiente como se fossem fiáveis.</w:t>
      </w:r>
    </w:p>
    <w:p>
      <w:pPr>
        <w:spacing w:after="140" w:line="276"/>
        <w:jc w:val="both"/>
      </w:pPr>
      <w:r>
        <w:t xml:space="preserve">Esta abordagem é validada empiricamente na Secção 6 (cobertura da long-tail): o recomendador por popularidade nunca expõe itens cold, enquanto as variantes de conteúdo e híbrida os colocam consistentemente no top-K.</w:t>
      </w:r>
    </w:p>
    <w:p>
      <w:pPr>
        <w:pStyle w:val="Heading1"/>
      </w:pPr>
      <w:r>
        <w:t xml:space="preserve">6. Experimentação e resultados</w:t>
      </w:r>
    </w:p>
    <w:p>
      <w:pPr>
        <w:pStyle w:val="Heading2"/>
      </w:pPr>
      <w:r>
        <w:t xml:space="preserve">6.1. Metodologia</w:t>
      </w:r>
    </w:p>
    <w:p>
      <w:pPr>
        <w:spacing w:after="140" w:line="276"/>
        <w:jc w:val="both"/>
      </w:pPr>
      <w:r>
        <w:t xml:space="preserve">A avaliação offline usa uma divisão temporal por utilizador: para cada utilizador, as avaliações mais antigas formam o treino e as mais recentes o teste (test_ratio = 0,2; mínimo de 2 itens de teste; utilizadores com pelo menos 3 avaliações). Esta divisão é mais realista do que uma aleatória, pois evita usar o futuro para prever o passado. Após a divisão obtêm-se 15 470 itens de catálogo em treino, 5 260 casos de teste e 299 utilizadores avaliados.</w:t>
      </w:r>
    </w:p>
    <w:p>
      <w:pPr>
        <w:spacing w:after="140" w:line="276"/>
        <w:jc w:val="both"/>
      </w:pPr>
      <w:r>
        <w:t xml:space="preserve">Usaram-se duas famílias de métricas: RMSE para o erro de predição de rating, e Precision@10, Recall@10, MAP@10 e NDCG@10 (média macro por utilizador) para a qualidade do ranking. Compararam-se cinco modelos: baseline (popularidade), conteúdo, colaborativo (cosseno), colaborativo (Jaccard) e o híbrido ponderado.</w:t>
      </w:r>
    </w:p>
    <w:p>
      <w:pPr>
        <w:pStyle w:val="Heading2"/>
      </w:pPr>
      <w:r>
        <w:t xml:space="preserve">6.2. Erro de predição (RMSE)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Modelo</w:t>
            </w:r>
          </w:p>
        </w:tc>
        <w:tc>
          <w:tcPr>
            <w:tcW w:type="dxa" w:w="30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RMSE (↓ melhor)</w:t>
            </w:r>
          </w:p>
        </w:tc>
      </w:tr>
      <w:tr>
        <w:trPr>
          <w:tblHeader w:val="false"/>
        </w:trPr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Híbrido (weighted)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1,0769</w:t>
            </w:r>
          </w:p>
        </w:tc>
      </w:tr>
      <w:tr>
        <w:trPr>
          <w:tblHeader w:val="false"/>
        </w:trPr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Conteúdo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1,0835</w:t>
            </w:r>
          </w:p>
        </w:tc>
      </w:tr>
      <w:tr>
        <w:trPr>
          <w:tblHeader w:val="false"/>
        </w:trPr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Colaborativo (cosseno)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1,1333</w:t>
            </w:r>
          </w:p>
        </w:tc>
      </w:tr>
      <w:tr>
        <w:trPr>
          <w:tblHeader w:val="false"/>
        </w:trPr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Colaborativo (Jaccard)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1,1340</w:t>
            </w:r>
          </w:p>
        </w:tc>
      </w:tr>
      <w:tr>
        <w:trPr>
          <w:tblHeader w:val="false"/>
        </w:trPr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Baseline (popularidade)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1,1800</w:t>
            </w:r>
          </w:p>
        </w:tc>
      </w:tr>
    </w:tbl>
    <w:p>
      <w:pPr>
        <w:spacing w:after="140" w:line="276"/>
        <w:jc w:val="both"/>
      </w:pPr>
      <w:r>
        <w:t xml:space="preserve">O híbrido obtém o menor RMSE (1,0769), superando todas as abordagens individuais, incluindo a melhor isolada (conteúdo, 1,0835) e claramente o baseline (1,1800). A combinação de sinais colaborativo e de conteúdo produz previsões de rating mais precisas do que qualquer técnica sozinha.</w:t>
      </w:r>
    </w:p>
    <w:p>
      <w:pPr>
        <w:pStyle w:val="Heading2"/>
      </w:pPr>
      <w:r>
        <w:t xml:space="preserve">6.3. Qualidade de ranking (@10)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026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026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Modelo</w:t>
            </w:r>
          </w:p>
        </w:tc>
        <w:tc>
          <w:tcPr>
            <w:tcW w:type="dxa" w:w="15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Precision</w:t>
            </w:r>
          </w:p>
        </w:tc>
        <w:tc>
          <w:tcPr>
            <w:tcW w:type="dxa" w:w="15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Recall</w:t>
            </w:r>
          </w:p>
        </w:tc>
        <w:tc>
          <w:tcPr>
            <w:tcW w:type="dxa" w:w="15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MAP</w:t>
            </w:r>
          </w:p>
        </w:tc>
        <w:tc>
          <w:tcPr>
            <w:tcW w:type="dxa" w:w="15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NDCG</w:t>
            </w:r>
          </w:p>
        </w:tc>
      </w:tr>
      <w:tr>
        <w:trPr>
          <w:tblHeader w:val="false"/>
        </w:trPr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Baseline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0,0060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0,0023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0,0021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0,0064</w:t>
            </w:r>
          </w:p>
        </w:tc>
      </w:tr>
      <w:tr>
        <w:trPr>
          <w:tblHeader w:val="false"/>
        </w:trPr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Híbrido (weighted)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0,0043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0,0030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0,0013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0,0044</w:t>
            </w:r>
          </w:p>
        </w:tc>
      </w:tr>
      <w:tr>
        <w:trPr>
          <w:tblHeader w:val="false"/>
        </w:trPr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Colaborativo (Jaccard)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0,0037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0,0024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0,0036</w:t>
            </w:r>
          </w:p>
        </w:tc>
      </w:tr>
      <w:tr>
        <w:trPr>
          <w:tblHeader w:val="false"/>
        </w:trPr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Conteúdo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0,0027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0,0008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0,0027</w:t>
            </w:r>
          </w:p>
        </w:tc>
      </w:tr>
      <w:tr>
        <w:trPr>
          <w:tblHeader w:val="false"/>
        </w:trPr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Colaborativo (cosseno)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0,0023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0,0016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0,0005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0,0021</w:t>
            </w:r>
          </w:p>
        </w:tc>
      </w:tr>
    </w:tbl>
    <w:p>
      <w:pPr>
        <w:spacing w:after="140" w:line="276"/>
        <w:jc w:val="both"/>
      </w:pPr>
      <w:r>
        <w:t xml:space="preserve">No ranking, os valores absolutos são baixos para todos os modelos (ver análise crítica). O baseline lidera em Precision e NDCG, enquanto o híbrido obtém o melhor Recall@10 e fica em segundo nas restantes métricas, à frente das três abordagens individuais personalizadas. Observa-se o conhecido compromisso entre o enviesamento por popularidade (favorece a precision quando os itens recentes retidos tendem a ser populares) e a personalização (favorece a cobertura/recall).</w:t>
      </w:r>
    </w:p>
    <w:p>
      <w:pPr>
        <w:pStyle w:val="Heading2"/>
      </w:pPr>
      <w:r>
        <w:t xml:space="preserve">6.4. Cold start de itens (cobertura da long-tail)</w:t>
      </w:r>
    </w:p>
    <w:p>
      <w:pPr>
        <w:spacing w:after="140" w:line="276"/>
        <w:jc w:val="both"/>
      </w:pPr>
      <w:r>
        <w:t xml:space="preserve">Mediu-se o número médio de itens cold (&lt; 5 avaliações de treino) que cada modelo coloca no top-10. Note-se que, nesta amostra esparsa, 15 222 dos 15 470 itens são cold, pelo que a métrica reflete sobretudo a capacidade de explorar a cauda do catálogo.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Modelo</w:t>
            </w:r>
          </w:p>
        </w:tc>
        <w:tc>
          <w:tcPr>
            <w:tcW w:type="dxa" w:w="3000"/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Itens cold no top-10 (média)</w:t>
            </w:r>
          </w:p>
        </w:tc>
      </w:tr>
      <w:tr>
        <w:trPr>
          <w:tblHeader w:val="false"/>
        </w:trPr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Baseline (popularidade)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0,00</w:t>
            </w:r>
          </w:p>
        </w:tc>
      </w:tr>
      <w:tr>
        <w:trPr>
          <w:tblHeader w:val="false"/>
        </w:trPr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Colaborativo (cosseno)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9,06</w:t>
            </w:r>
          </w:p>
        </w:tc>
      </w:tr>
      <w:tr>
        <w:trPr>
          <w:tblHeader w:val="false"/>
        </w:trPr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Conteúdo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9,19</w:t>
            </w:r>
          </w:p>
        </w:tc>
      </w:tr>
      <w:tr>
        <w:trPr>
          <w:tblHeader w:val="false"/>
        </w:trPr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Híbrido (weighted)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9,42</w:t>
            </w:r>
          </w:p>
        </w:tc>
      </w:tr>
    </w:tbl>
    <w:p>
      <w:pPr>
        <w:spacing w:after="140" w:line="276"/>
        <w:jc w:val="both"/>
      </w:pPr>
      <w:r>
        <w:t xml:space="preserve">O recomendador por popularidade não expõe qualquer item cold (cobertura nula da long-tail), confirmando a sua cegueira a itens novos. As abordagens de conteúdo e híbrida expõem-nos consistentemente, com o híbrido a apresentar a maior cobertura — evidência empírica direta da eficácia da estratégia de cold start de itens.</w:t>
      </w:r>
    </w:p>
    <w:p>
      <w:pPr>
        <w:pStyle w:val="Heading1"/>
      </w:pPr>
      <w:r>
        <w:t xml:space="preserve">7. Análise crítica</w:t>
      </w:r>
    </w:p>
    <w:p>
      <w:pPr>
        <w:spacing w:after="140" w:line="276"/>
        <w:jc w:val="both"/>
      </w:pPr>
      <w:r>
        <w:t xml:space="preserve">Os resultados confirmam a hipótese central: a solução híbrida melhora a predição de rating (melhor RMSE de todos os modelos) e equilibra precisão e cobertura no ranking, sendo competitiva e mais robusta do que qualquer abordagem isolada. A vantagem é particularmente clara no cold start de itens, onde só as componentes de conteúdo permitem alcançar a long-tail.</w:t>
      </w:r>
    </w:p>
    <w:p>
      <w:pPr>
        <w:spacing w:after="140" w:line="276"/>
        <w:jc w:val="both"/>
      </w:pPr>
      <w:r>
        <w:t xml:space="preserve">Os valores absolutos das métricas de ranking são, contudo, muito baixos. Isto deve-se à natureza dos dados e do protocolo: apenas 300 utilizadores e ~29 mil avaliações sobre ~18,8 mil itens resultam numa matriz extremamente esparsa; a divisão temporal deixa poucos itens relevantes por utilizador no teste; e o espaço de candidatos é enorme (acertar 2–3 itens exatos no top-10 entre milhares é improvável). Estes números devem, por isso, ser lidos em termos relativos (comparação entre modelos) e não absolutos.</w:t>
      </w:r>
    </w:p>
    <w:p>
      <w:pPr>
        <w:spacing w:after="140" w:line="276"/>
        <w:jc w:val="both"/>
      </w:pPr>
      <w:r>
        <w:t xml:space="preserve">O baseline supera ligeiramente o híbrido em Precision/NDCG porque os itens retidos mais recentes tendem a ser populares — um efeito de enviesamento por popularidade bem documentado na literatura, que penaliza injustamente a personalização nas métricas de ranking offline. O melhor Recall e a maior cobertura de itens cold do híbrido mostram, ainda assim, o seu valor para descoberta e diversidade.</w:t>
      </w:r>
    </w:p>
    <w:p>
      <w:pPr>
        <w:spacing w:after="140" w:line="276"/>
        <w:jc w:val="both"/>
      </w:pPr>
      <w:r>
        <w:t xml:space="preserve">Limitações: (i) a componente social foi omitida da avaliação offline por o grafo de amigos ser esparso no conjunto de teste; (ii) a CF não pondera a recência das avaliações; (iii) os pesos do híbrido foram definidos por conhecimento do domínio e não otimizados automaticamente; (iv) o texto das reviews não é explorado (apenas categorias/atributos). Trabalho futuro: otimização dos pesos (ex.: grid search), modelos de fatores latentes (SVD), e incorporação de sinais textuais e de localização geográfica.</w:t>
      </w:r>
    </w:p>
    <w:p>
      <w:pPr>
        <w:pStyle w:val="Heading1"/>
      </w:pPr>
      <w:r>
        <w:t xml:space="preserve">8. Conclusões</w:t>
      </w:r>
    </w:p>
    <w:p>
      <w:pPr>
        <w:spacing w:after="140" w:line="276"/>
        <w:jc w:val="both"/>
      </w:pPr>
      <w:r>
        <w:t xml:space="preserve">Foi desenvolvido um Sistema de Recomendação Híbrido completo para restauração, exposto por uma Web API com autenticação e autorização, recomendações não personalizadas para visitantes, registo com inquérito, atribuição de ratings e atualização dinâmica de perfis e itens. A solução híbrida ponderada combina filtragem colaborativa, baseada em conteúdo, perfil e sinais sociais, com estratégias explícitas para o cold start de utilizadores e de itens.</w:t>
      </w:r>
    </w:p>
    <w:p>
      <w:pPr>
        <w:spacing w:after="140" w:line="276"/>
        <w:jc w:val="both"/>
      </w:pPr>
      <w:r>
        <w:t xml:space="preserve">A experimentação mostra que o híbrido supera as abordagens individuais no RMSE e oferece o melhor compromisso no ranking, além de cobrir a long-tail que a popularidade ignora. Os resultados, ainda que modestos em valor absoluto devido à esparsidade dos dados, validam a abordagem e apontam direções claras de melhoria.</w:t>
      </w:r>
    </w:p>
    <w:p>
      <w:pPr>
        <w:pStyle w:val="Heading1"/>
      </w:pPr>
      <w:r>
        <w:t xml:space="preserve">9. Referências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Burke, R. (2002). Hybrid Recommender Systems: Survey and Experiments. User Modeling and User-Adapted Interaction, 12(4), 331–370.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Ricci, F., Rokach, L., &amp; Shapira, B. (2015). Recommender Systems Handbook (2nd ed.). Springer.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Sarwar, B., Karypis, G., Konstan, J., &amp; Riedl, J. (2001). Item-based Collaborative Filtering Recommendation Algorithms. WWW '01.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Herlocker, J., Konstan, J., Borchers, A., &amp; Riedl, J. (1999). An Algorithmic Framework for Performing Collaborative Filtering. SIGIR '99.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Herlocker, J., Konstan, J., Terveen, L., &amp; Riedl, J. (2004). Evaluating Collaborative Filtering Recommender Systems. ACM TOIS, 22(1), 5–53.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Yelp Open Dataset. https://www.yelp.com/dataset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FastAPI Documentation. https://fastapi.tiangolo.com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SQLAlchemy 2.0 Documentation. https://docs.sqlalchemy.org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React Documentation. https://react.dev</w:t>
      </w:r>
    </w:p>
    <w:p>
      <w:pPr>
        <w:pStyle w:val="Heading1"/>
      </w:pPr>
      <w:r>
        <w:t xml:space="preserve">10. Declaração de utilização de IA generativa</w:t>
      </w:r>
    </w:p>
    <w:p>
      <w:pPr>
        <w:spacing w:after="140" w:line="276"/>
        <w:jc w:val="both"/>
      </w:pPr>
      <w:r>
        <w:rPr>
          <w:b/>
          <w:bCs/>
        </w:rPr>
        <w:t xml:space="preserve">Ferramentas utilizadas.</w:t>
      </w:r>
      <w:r>
        <w:t xml:space="preserve"> Foram utilizadas ferramentas de IA generativa, nomeadamente o Claude (Anthropic), através do assistente de desenvolvimento Claude Code.</w:t>
      </w:r>
    </w:p>
    <w:p>
      <w:pPr>
        <w:spacing w:after="140" w:line="276"/>
        <w:jc w:val="both"/>
      </w:pPr>
      <w:r>
        <w:rPr>
          <w:b/>
          <w:bCs/>
        </w:rPr>
        <w:t xml:space="preserve">De que forma foram utilizadas.</w:t>
      </w:r>
      <w:r>
        <w:t xml:space="preserve"> Apoio na refatoração e correção do backend (introdução de autenticação/autorização por JWT, implementação do cold start de itens e da componente social, organização do híbrido ponderado), na criação de testes automáticos (pytest e vitest), na configuração de migrações (Alembic), na adição de células de avaliação ao notebook e na redação inicial deste relatório.</w:t>
      </w:r>
    </w:p>
    <w:p>
      <w:pPr>
        <w:spacing w:after="140" w:line="276"/>
        <w:jc w:val="both"/>
      </w:pPr>
      <w:r>
        <w:rPr>
          <w:b/>
          <w:bCs/>
        </w:rPr>
        <w:t xml:space="preserve">Objetivo.</w:t>
      </w:r>
      <w:r>
        <w:t xml:space="preserve"> Acelerar tarefas repetitivas e de documentação, sugerir boas práticas (segurança, estrutura de testes) e estruturar a comparação experimental, mantendo o foco do grupo nas decisões de conceção.</w:t>
      </w:r>
    </w:p>
    <w:p>
      <w:pPr>
        <w:spacing w:after="140" w:line="276"/>
        <w:jc w:val="both"/>
      </w:pPr>
      <w:r>
        <w:rPr>
          <w:b/>
          <w:bCs/>
        </w:rPr>
        <w:t xml:space="preserve">Partes resultantes desse apoio.</w:t>
      </w:r>
      <w:r>
        <w:t xml:space="preserve"> Excertos de código nos módulos de autenticação, recomendação e testes, a configuração de Alembic, as células de avaliação do híbrido no notebook e o rascunho textual deste documento. Todo o conteúdo gerado foi revisto, testado e validado pelo grupo.</w:t>
      </w:r>
    </w:p>
    <w:p>
      <w:pPr>
        <w:spacing w:after="140" w:line="276"/>
        <w:jc w:val="both"/>
      </w:pPr>
      <w:r>
        <w:rPr>
          <w:b/>
          <w:bCs/>
        </w:rPr>
        <w:t xml:space="preserve">Responsabilidade.</w:t>
      </w:r>
      <w:r>
        <w:t xml:space="preserve"> A responsabilidade científica, técnica e ética do trabalho é integralmente do grupo. Os resultados experimentais reportados foram obtidos pela execução do código sobre o dataset, e não gerados pela ferramenta de IA.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SISREC 2025/2026 — Relatório Final     </w:t>
    </w: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2026-06-06T15:33:20.944Z</dcterms:created>
  <dcterms:modified xsi:type="dcterms:W3CDTF">2026-06-06T15:33:20.945Z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