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40"/>
        </w:rPr>
        <w:t>一种基于多源传感信息的电机状态监测与自适应控制方法</w:t>
      </w:r>
    </w:p>
    <w:p>
      <w:pPr>
        <w:pStyle w:val="Heading1"/>
        <w:jc w:val="left"/>
      </w:pPr>
      <w:r>
        <w:rPr>
          <w:rFonts w:ascii="Times New Roman" w:hAnsi="Times New Roman" w:eastAsia="黑体"/>
          <w:b/>
          <w:sz w:val="28"/>
        </w:rPr>
        <w:t>1. 发明名称</w:t>
      </w:r>
    </w:p>
    <w:p>
      <w:pPr>
        <w:ind w:firstLine="420"/>
      </w:pPr>
      <w:r>
        <w:rPr>
          <w:rFonts w:ascii="Times New Roman" w:hAnsi="Times New Roman" w:eastAsia="宋体"/>
          <w:b w:val="0"/>
          <w:sz w:val="24"/>
        </w:rPr>
        <w:t>预期发明名称为：一种基于多源传感信息的电机状态监测与自适应控制方法</w:t>
      </w:r>
    </w:p>
    <w:p>
      <w:pPr>
        <w:pStyle w:val="Heading1"/>
        <w:jc w:val="left"/>
      </w:pPr>
      <w:r>
        <w:rPr>
          <w:rFonts w:ascii="Times New Roman" w:hAnsi="Times New Roman" w:eastAsia="黑体"/>
          <w:b/>
          <w:sz w:val="28"/>
        </w:rPr>
        <w:t>2. 技术领域</w:t>
      </w:r>
    </w:p>
    <w:p>
      <w:pPr>
        <w:ind w:firstLine="420"/>
      </w:pPr>
      <w:r>
        <w:rPr>
          <w:rFonts w:ascii="Times New Roman" w:hAnsi="Times New Roman" w:eastAsia="宋体"/>
          <w:b w:val="0"/>
          <w:sz w:val="24"/>
        </w:rPr>
        <w:t>电机状态监测、故障预警与自适应控制，涉及多源传感信息同步、状态融合和闭环控制。</w:t>
      </w:r>
    </w:p>
    <w:p>
      <w:pPr>
        <w:pStyle w:val="Heading1"/>
        <w:jc w:val="left"/>
      </w:pPr>
      <w:r>
        <w:rPr>
          <w:rFonts w:ascii="Times New Roman" w:hAnsi="Times New Roman" w:eastAsia="黑体"/>
          <w:b/>
          <w:sz w:val="28"/>
        </w:rPr>
        <w:t>3. 背景技术</w:t>
      </w:r>
    </w:p>
    <w:p>
      <w:pPr>
        <w:ind w:firstLine="420"/>
      </w:pPr>
      <w:r>
        <w:rPr>
          <w:rFonts w:ascii="Times New Roman" w:hAnsi="Times New Roman" w:eastAsia="宋体"/>
          <w:b w:val="0"/>
          <w:sz w:val="24"/>
        </w:rPr>
        <w:t>- 现有电机控制器通常以定子电流和转速作为主要反馈量。</w:t>
        <w:br/>
        <w:t>- 独立的振动监测设备可用于机械故障检测，但检测结果通常不直接参与控制参数修正。</w:t>
        <w:br/>
        <w:t>- 温度保护一般采用固定阈值，难以描述负载变化下的连续热状态。</w:t>
      </w:r>
    </w:p>
    <w:p>
      <w:pPr>
        <w:pStyle w:val="Heading1"/>
        <w:jc w:val="left"/>
      </w:pPr>
      <w:r>
        <w:rPr>
          <w:rFonts w:ascii="Times New Roman" w:hAnsi="Times New Roman" w:eastAsia="黑体"/>
          <w:b/>
          <w:sz w:val="28"/>
        </w:rPr>
        <w:t>4. 现有技术存在的问题</w:t>
      </w:r>
    </w:p>
    <w:p>
      <w:pPr>
        <w:ind w:firstLine="420"/>
      </w:pPr>
      <w:r>
        <w:rPr>
          <w:rFonts w:ascii="Times New Roman" w:hAnsi="Times New Roman" w:eastAsia="宋体"/>
          <w:b w:val="0"/>
          <w:sz w:val="24"/>
        </w:rPr>
        <w:t>- 单一电流或转速反馈难以同时反映电气、机械和热状态。</w:t>
        <w:br/>
        <w:t>- 多类传感器的采样时钟和噪声水平不同，直接拼接可能导致状态估计不稳定。</w:t>
        <w:br/>
        <w:t>- 状态监测与控制回路相互独立，检测结果不能及时转化为控制参数修正量。</w:t>
      </w:r>
    </w:p>
    <w:p>
      <w:pPr>
        <w:pStyle w:val="Heading1"/>
        <w:jc w:val="left"/>
      </w:pPr>
      <w:r>
        <w:rPr>
          <w:rFonts w:ascii="Times New Roman" w:hAnsi="Times New Roman" w:eastAsia="黑体"/>
          <w:b/>
          <w:sz w:val="28"/>
        </w:rPr>
        <w:t>5. 本发明要解决的技术问题</w:t>
      </w:r>
    </w:p>
    <w:p>
      <w:pPr>
        <w:ind w:firstLine="420"/>
      </w:pPr>
      <w:r>
        <w:rPr>
          <w:rFonts w:ascii="Times New Roman" w:hAnsi="Times New Roman" w:eastAsia="宋体"/>
          <w:b w:val="0"/>
          <w:sz w:val="24"/>
        </w:rPr>
        <w:t>如何在不依赖单一传感源的情况下获得可用于闭环控制的电机融合状态量，并根据该融合状态量在线生成自适应控制指令。</w:t>
      </w:r>
    </w:p>
    <w:p>
      <w:pPr>
        <w:pStyle w:val="Heading1"/>
        <w:jc w:val="left"/>
      </w:pPr>
      <w:r>
        <w:rPr>
          <w:rFonts w:ascii="Times New Roman" w:hAnsi="Times New Roman" w:eastAsia="黑体"/>
          <w:b/>
          <w:sz w:val="28"/>
        </w:rPr>
        <w:t>6. 技术方案</w:t>
      </w:r>
    </w:p>
    <w:p>
      <w:pPr>
        <w:ind w:firstLine="420"/>
      </w:pPr>
      <w:r>
        <w:rPr>
          <w:rFonts w:ascii="Times New Roman" w:hAnsi="Times New Roman" w:eastAsia="宋体"/>
          <w:b w:val="0"/>
          <w:sz w:val="24"/>
        </w:rPr>
        <w:t>获取振动、定子电流、转速和温度信号。</w:t>
      </w:r>
    </w:p>
    <w:p>
      <w:pPr>
        <w:ind w:firstLine="420"/>
      </w:pPr>
      <w:r>
        <w:rPr>
          <w:rFonts w:ascii="Times New Roman" w:hAnsi="Times New Roman" w:eastAsia="宋体"/>
          <w:b w:val="0"/>
          <w:sz w:val="24"/>
        </w:rPr>
        <w:t>对多源信号进行时间同步和归一化，形成多源特征向量。</w:t>
      </w:r>
    </w:p>
    <w:p>
      <w:pPr>
        <w:ind w:firstLine="420"/>
      </w:pPr>
      <w:r>
        <w:rPr>
          <w:rFonts w:ascii="Times New Roman" w:hAnsi="Times New Roman" w:eastAsia="宋体"/>
          <w:b w:val="0"/>
          <w:sz w:val="24"/>
        </w:rPr>
        <w:t>根据各信号的质量指标计算置信度权重，并得到融合状态量。</w:t>
      </w:r>
    </w:p>
    <w:p>
      <w:pPr>
        <w:ind w:firstLine="420"/>
      </w:pPr>
      <w:r>
        <w:rPr>
          <w:rFonts w:ascii="Times New Roman" w:hAnsi="Times New Roman" w:eastAsia="宋体"/>
          <w:b w:val="0"/>
          <w:sz w:val="24"/>
        </w:rPr>
        <w:t>计算目标状态与融合状态量之间的状态偏差。</w:t>
      </w:r>
    </w:p>
    <w:p>
      <w:pPr>
        <w:ind w:firstLine="420"/>
      </w:pPr>
      <w:r>
        <w:rPr>
          <w:rFonts w:ascii="Times New Roman" w:hAnsi="Times New Roman" w:eastAsia="宋体"/>
          <w:b w:val="0"/>
          <w:sz w:val="24"/>
        </w:rPr>
        <w:t>根据状态偏差和历史偏差生成自适应控制指令并输出至电机驱动单元。</w:t>
      </w:r>
    </w:p>
    <w:p>
      <w:pPr>
        <w:ind w:firstLine="420"/>
      </w:pPr>
      <w:r>
        <w:rPr>
          <w:rFonts w:ascii="Times New Roman" w:hAnsi="Times New Roman" w:eastAsia="宋体"/>
          <w:b w:val="0"/>
          <w:sz w:val="24"/>
        </w:rPr>
        <w:t xml:space="preserve">在控制过程中，电磁转矩 </w:t>
      </w:r>
      <m:oMath>
        <m:sSub>
          <m:e>
            <m:r>
              <m:t>T</m:t>
            </m:r>
          </m:e>
          <m:sub>
            <m:r>
              <m:t>e</m:t>
            </m:r>
          </m:sub>
        </m:sSub>
      </m:oMath>
      <w:r>
        <w:rPr>
          <w:rFonts w:ascii="Times New Roman" w:hAnsi="Times New Roman" w:eastAsia="宋体"/>
          <w:b w:val="0"/>
          <w:sz w:val="24"/>
        </w:rPr>
        <w:t xml:space="preserve"> 作为状态量参与控制参数修正。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z</m:t>
                    </m:r>
                  </m:e>
                  <m:sub>
                    <m:r>
                      <m:t>k</m:t>
                    </m:r>
                  </m:sub>
                </m:sSub>
                <m:r>
                  <m:t>=</m:t>
                </m:r>
                <m:r>
                  <m:t>α</m:t>
                </m:r>
                <m:sSub>
                  <m:e>
                    <m:r>
                      <m:t>x</m:t>
                    </m:r>
                  </m:e>
                  <m:sub>
                    <m:r>
                      <m:t>v</m:t>
                    </m:r>
                    <m:r>
                      <m:t>,</m:t>
                    </m:r>
                    <m:r>
                      <m:t>k</m:t>
                    </m:r>
                  </m:sub>
                </m:sSub>
                <m:r>
                  <m:t>+</m:t>
                </m:r>
                <m:r>
                  <m:t>β</m:t>
                </m:r>
                <m:sSub>
                  <m:e>
                    <m:r>
                      <m:t>x</m:t>
                    </m:r>
                  </m:e>
                  <m:sub>
                    <m:r>
                      <m:t>i</m:t>
                    </m:r>
                    <m:r>
                      <m:t>,</m:t>
                    </m:r>
                    <m:r>
                      <m:t>k</m:t>
                    </m:r>
                  </m:sub>
                </m:sSub>
                <m:r>
                  <m:t>+</m:t>
                </m:r>
                <m:r>
                  <m:t>(</m:t>
                </m:r>
                <m:r>
                  <m:t>1</m:t>
                </m:r>
                <m:r>
                  <m:t>-</m:t>
                </m:r>
                <m:r>
                  <m:t>α</m:t>
                </m:r>
                <m:r>
                  <m:t>-</m:t>
                </m:r>
                <m:r>
                  <m:t>β</m:t>
                </m:r>
                <m:r>
                  <m:t>)</m:t>
                </m:r>
                <m:sSub>
                  <m:e>
                    <m:r>
                      <m:t>x</m:t>
                    </m:r>
                  </m:e>
                  <m:sub>
                    <m:r>
                      <m:t>T</m:t>
                    </m:r>
                    <m:r>
                      <m:t>,</m:t>
                    </m:r>
                    <m:r>
                      <m:t>k</m:t>
                    </m:r>
                  </m:sub>
                </m:sSub>
              </m:oMath>
            </m:oMathPara>
          </w:p>
        </w:tc>
        <w:tc>
          <w:tcPr>
            <w:tcW w:type="dxa" w:w="1440"/>
          </w:tcPr>
          <w:p>
            <w:pPr>
              <w:jc w:val="right"/>
            </w:pPr>
            <w: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e</m:t>
                    </m:r>
                  </m:e>
                  <m:sub>
                    <m:r>
                      <m:t>k</m:t>
                    </m:r>
                  </m:sub>
                </m:sSub>
                <m:r>
                  <m:t>=</m:t>
                </m:r>
                <m:sSub>
                  <m:e>
                    <m:r>
                      <m:t>r</m:t>
                    </m:r>
                  </m:e>
                  <m:sub>
                    <m:r>
                      <m:t>k</m:t>
                    </m:r>
                  </m:sub>
                </m:sSub>
                <m:r>
                  <m:t>-</m:t>
                </m:r>
                <m:sSub>
                  <m:e>
                    <m:r>
                      <m:t>z</m:t>
                    </m:r>
                  </m:e>
                  <m:sub>
                    <m:r>
                      <m:t>k</m:t>
                    </m:r>
                  </m:sub>
                </m:sSub>
              </m:oMath>
            </m:oMathPara>
          </w:p>
        </w:tc>
        <w:tc>
          <w:tcPr>
            <w:tcW w:type="dxa" w:w="1440"/>
          </w:tcPr>
          <w:p>
            <w:pPr>
              <w:jc w:val="right"/>
            </w:pPr>
            <w: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u</m:t>
                    </m:r>
                  </m:e>
                  <m:sub>
                    <m:r>
                      <m:t>k</m:t>
                    </m:r>
                  </m:sub>
                </m:sSub>
                <m:r>
                  <m:t>=</m:t>
                </m:r>
                <m:sSub>
                  <m:e>
                    <m:r>
                      <m:t>u</m:t>
                    </m:r>
                  </m:e>
                  <m:sub>
                    <m:r>
                      <m:t>k</m:t>
                    </m:r>
                    <m:r>
                      <m:t>-</m:t>
                    </m:r>
                    <m:r>
                      <m:t>1</m:t>
                    </m:r>
                  </m:sub>
                </m:sSub>
                <m:r>
                  <m:t>+</m:t>
                </m:r>
                <m:sSub>
                  <m:e>
                    <m:r>
                      <m:t>K</m:t>
                    </m:r>
                  </m:e>
                  <m:sub>
                    <m:r>
                      <m:t>p</m:t>
                    </m:r>
                  </m:sub>
                </m:sSub>
                <m:sSub>
                  <m:e>
                    <m:r>
                      <m:t>e</m:t>
                    </m:r>
                  </m:e>
                  <m:sub>
                    <m:r>
                      <m:t>k</m:t>
                    </m:r>
                  </m:sub>
                </m:sSub>
                <m:r>
                  <m:t>+</m:t>
                </m:r>
                <m:sSub>
                  <m:e>
                    <m:r>
                      <m:t>K</m:t>
                    </m:r>
                  </m:e>
                  <m:sub>
                    <m:r>
                      <m:t>i</m:t>
                    </m:r>
                  </m:sub>
                </m:sSub>
                <m:nary>
                  <m:naryPr>
                    <m:chr m:val="∑"/>
                    <m:limLoc m:val="undOvr"/>
                  </m:naryPr>
                  <m:sub>
                    <m:r>
                      <m:t>j</m:t>
                    </m:r>
                    <m:r>
                      <m:t>=</m:t>
                    </m:r>
                    <m:r>
                      <m:t>1</m:t>
                    </m:r>
                  </m:sub>
                  <m:sup>
                    <m:r>
                      <m:t>k</m:t>
                    </m:r>
                  </m:sup>
                  <m:e>
                    <m:sSub>
                      <m:e>
                        <m:r>
                          <m:t>e</m:t>
                        </m:r>
                      </m:e>
                      <m:sub>
                        <m:r>
                          <m:t>j</m:t>
                        </m:r>
                      </m:sub>
                    </m:sSub>
                  </m:e>
                </m:nary>
              </m:oMath>
            </m:oMathPara>
          </w:p>
        </w:tc>
        <w:tc>
          <w:tcPr>
            <w:tcW w:type="dxa" w:w="1440"/>
          </w:tcPr>
          <w:p>
            <w:pPr>
              <w:jc w:val="right"/>
            </w:pPr>
            <w: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T</m:t>
                    </m:r>
                  </m:e>
                  <m:sub>
                    <m:r>
                      <m:t>e</m:t>
                    </m:r>
                  </m:sub>
                </m:sSub>
                <m:r>
                  <m:t>=</m:t>
                </m:r>
                <m:f>
                  <m:num>
                    <m:r>
                      <m:t>3</m:t>
                    </m:r>
                  </m:num>
                  <m:den>
                    <m:r>
                      <m:t>2</m:t>
                    </m:r>
                  </m:den>
                </m:f>
                <m:r>
                  <m:t>p</m:t>
                </m:r>
                <m:r>
                  <m:t>[</m:t>
                </m:r>
                <m:sSub>
                  <m:e>
                    <m:r>
                      <m:t>ψ</m:t>
                    </m:r>
                  </m:e>
                  <m:sub>
                    <m:r>
                      <m:t>f</m:t>
                    </m:r>
                  </m:sub>
                </m:sSub>
                <m:sSub>
                  <m:e>
                    <m:r>
                      <m:t>i</m:t>
                    </m:r>
                  </m:e>
                  <m:sub>
                    <m:r>
                      <m:t>q</m:t>
                    </m:r>
                  </m:sub>
                </m:sSub>
                <m:r>
                  <m:t>+</m:t>
                </m:r>
                <m:r>
                  <m:t>(</m:t>
                </m:r>
                <m:sSub>
                  <m:e>
                    <m:r>
                      <m:t>L</m:t>
                    </m:r>
                  </m:e>
                  <m:sub>
                    <m:r>
                      <m:t>d</m:t>
                    </m:r>
                  </m:sub>
                </m:sSub>
                <m:r>
                  <m:t>-</m:t>
                </m:r>
                <m:sSub>
                  <m:e>
                    <m:r>
                      <m:t>L</m:t>
                    </m:r>
                  </m:e>
                  <m:sub>
                    <m:r>
                      <m:t>q</m:t>
                    </m:r>
                  </m:sub>
                </m:sSub>
                <m:r>
                  <m:t>)</m:t>
                </m:r>
                <m:sSub>
                  <m:e>
                    <m:r>
                      <m:t>i</m:t>
                    </m:r>
                  </m:e>
                  <m:sub>
                    <m:r>
                      <m:t>d</m:t>
                    </m:r>
                  </m:sub>
                </m:sSub>
                <m:sSub>
                  <m:e>
                    <m:r>
                      <m:t>i</m:t>
                    </m:r>
                  </m:e>
                  <m:sub>
                    <m:r>
                      <m:t>q</m:t>
                    </m:r>
                  </m:sub>
                </m:sSub>
                <m:r>
                  <m:t>]</m:t>
                </m:r>
              </m:oMath>
            </m:oMathPara>
          </w:p>
        </w:tc>
        <w:tc>
          <w:tcPr>
            <w:tcW w:type="dxa" w:w="1440"/>
          </w:tcPr>
          <w:p>
            <w:pPr>
              <w:jc w:val="right"/>
            </w:pPr>
            <w:r>
              <w:t>(4)</w:t>
            </w:r>
          </w:p>
        </w:tc>
      </w:tr>
    </w:tbl>
    <w:p>
      <w:pPr>
        <w:ind w:firstLine="420"/>
      </w:pPr>
      <w:r>
        <w:rPr>
          <w:rFonts w:ascii="Times New Roman" w:hAnsi="Times New Roman" w:eastAsia="宋体"/>
          <w:b w:val="0"/>
          <w:sz w:val="24"/>
        </w:rPr>
        <w:t>根据</w:t>
      </w:r>
      <w:r>
        <w:rPr>
          <w:rFonts w:ascii="Times New Roman" w:hAnsi="Times New Roman" w:eastAsia="宋体"/>
          <w:b w:val="0"/>
          <w:sz w:val="24"/>
        </w:rPr>
        <w:t>式（1）</w:t>
      </w:r>
      <w:r>
        <w:rPr>
          <w:rFonts w:ascii="Times New Roman" w:hAnsi="Times New Roman" w:eastAsia="宋体"/>
          <w:b w:val="0"/>
          <w:sz w:val="24"/>
        </w:rPr>
        <w:t>计算融合状态量，并据此生成控制参数修正量。</w:t>
      </w:r>
    </w:p>
    <w:p>
      <w:pPr>
        <w:pStyle w:val="Heading1"/>
        <w:jc w:val="left"/>
      </w:pPr>
      <w:r>
        <w:rPr>
          <w:rFonts w:ascii="Times New Roman" w:hAnsi="Times New Roman" w:eastAsia="黑体"/>
          <w:b/>
          <w:sz w:val="28"/>
        </w:rPr>
        <w:t>7. 有益效果</w:t>
      </w:r>
    </w:p>
    <w:p>
      <w:pPr>
        <w:ind w:firstLine="420"/>
      </w:pPr>
      <w:r>
        <w:rPr>
          <w:rFonts w:ascii="Times New Roman" w:hAnsi="Times New Roman" w:eastAsia="宋体"/>
          <w:b w:val="0"/>
          <w:sz w:val="24"/>
        </w:rPr>
        <w:t>将机械、电气和热状态映射为同一融合状态量，为闭环控制提供统一输入。</w:t>
      </w:r>
    </w:p>
    <w:p>
      <w:pPr>
        <w:ind w:firstLine="420"/>
      </w:pPr>
      <w:r>
        <w:rPr>
          <w:rFonts w:ascii="Times New Roman" w:hAnsi="Times New Roman" w:eastAsia="宋体"/>
          <w:b w:val="0"/>
          <w:sz w:val="24"/>
        </w:rPr>
        <w:t>通过置信度权重降低单个传感通道异常对控制指令的影响。</w:t>
      </w:r>
    </w:p>
    <w:p>
      <w:pPr>
        <w:ind w:firstLine="420"/>
      </w:pPr>
      <w:r>
        <w:rPr>
          <w:rFonts w:ascii="Times New Roman" w:hAnsi="Times New Roman" w:eastAsia="宋体"/>
          <w:b w:val="0"/>
          <w:sz w:val="24"/>
        </w:rPr>
        <w:t>使状态监测结果能够直接参与控制参数修正，缩短监测与控制之间的信息链路。</w:t>
      </w:r>
    </w:p>
    <w:p>
      <w:pPr>
        <w:pStyle w:val="Heading1"/>
        <w:jc w:val="left"/>
      </w:pPr>
      <w:r>
        <w:rPr>
          <w:rFonts w:ascii="Times New Roman" w:hAnsi="Times New Roman" w:eastAsia="黑体"/>
          <w:b/>
          <w:sz w:val="28"/>
        </w:rPr>
        <w:t>8. 附图说明</w:t>
      </w:r>
    </w:p>
    <w:p>
      <w:pPr>
        <w:ind w:firstLine="420"/>
      </w:pPr>
      <w:r>
        <w:rPr>
          <w:rFonts w:ascii="Times New Roman" w:hAnsi="Times New Roman" w:eastAsia="宋体"/>
          <w:b w:val="0"/>
          <w:sz w:val="24"/>
        </w:rPr>
        <w:t>该方法形成从多源信号采集到自适应控制指令输出的闭环流程，如</w:t>
      </w:r>
      <w:r>
        <w:rPr>
          <w:rFonts w:ascii="Times New Roman" w:hAnsi="Times New Roman" w:eastAsia="宋体"/>
          <w:b w:val="0"/>
          <w:sz w:val="24"/>
        </w:rPr>
        <w:t>图1</w:t>
      </w:r>
      <w:r>
        <w:rPr>
          <w:rFonts w:ascii="Times New Roman" w:hAnsi="Times New Roman" w:eastAsia="宋体"/>
          <w:b w:val="0"/>
          <w:sz w:val="24"/>
        </w:rPr>
        <w:t>所示。</w:t>
      </w:r>
    </w:p>
    <w:p>
      <w:pPr>
        <w:jc w:val="center"/>
      </w:pPr>
      <w:r>
        <w:drawing>
          <wp:inline xmlns:a="http://schemas.openxmlformats.org/drawingml/2006/main" xmlns:pic="http://schemas.openxmlformats.org/drawingml/2006/picture">
            <wp:extent cx="4860000" cy="4773600"/>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4860000" cy="4773600"/>
                    </a:xfrm>
                    <a:prstGeom prst="rect"/>
                  </pic:spPr>
                </pic:pic>
              </a:graphicData>
            </a:graphic>
          </wp:inline>
        </w:drawing>
      </w:r>
    </w:p>
    <w:p>
      <w:pPr>
        <w:pStyle w:val="PatentCaption"/>
        <w:jc w:val="center"/>
      </w:pPr>
      <w:r>
        <w:rPr>
          <w:rFonts w:ascii="Times New Roman" w:hAnsi="Times New Roman" w:eastAsia="宋体"/>
          <w:b w:val="0"/>
          <w:sz w:val="21"/>
        </w:rPr>
        <w:t>图1  电机状态监测与自适应控制方法流程图</w:t>
      </w:r>
    </w:p>
    <w:p>
      <w:pPr>
        <w:jc w:val="center"/>
      </w:pPr>
      <w:r>
        <w:drawing>
          <wp:inline xmlns:a="http://schemas.openxmlformats.org/drawingml/2006/main" xmlns:pic="http://schemas.openxmlformats.org/drawingml/2006/picture">
            <wp:extent cx="4860000" cy="3888000"/>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860000" cy="3888000"/>
                    </a:xfrm>
                    <a:prstGeom prst="rect"/>
                  </pic:spPr>
                </pic:pic>
              </a:graphicData>
            </a:graphic>
          </wp:inline>
        </w:drawing>
      </w:r>
    </w:p>
    <w:p>
      <w:pPr>
        <w:pStyle w:val="PatentCaption"/>
        <w:jc w:val="center"/>
      </w:pPr>
      <w:r>
        <w:rPr>
          <w:rFonts w:ascii="Times New Roman" w:hAnsi="Times New Roman" w:eastAsia="宋体"/>
          <w:b w:val="0"/>
          <w:sz w:val="21"/>
        </w:rPr>
        <w:t>图2  电机状态监测与自适应控制系统结构示意图</w:t>
      </w:r>
    </w:p>
    <w:p>
      <w:pPr>
        <w:pStyle w:val="Heading1"/>
        <w:jc w:val="left"/>
      </w:pPr>
      <w:r>
        <w:rPr>
          <w:rFonts w:ascii="Times New Roman" w:hAnsi="Times New Roman" w:eastAsia="黑体"/>
          <w:b/>
          <w:sz w:val="28"/>
        </w:rPr>
        <w:t>9. 具体实施方式</w:t>
      </w:r>
    </w:p>
    <w:p>
      <w:pPr>
        <w:ind w:firstLine="420"/>
      </w:pPr>
      <w:r>
        <w:rPr>
          <w:rFonts w:ascii="Times New Roman" w:hAnsi="Times New Roman" w:eastAsia="宋体"/>
          <w:b w:val="0"/>
          <w:sz w:val="24"/>
        </w:rPr>
        <w:t>预期在合成演示实施例中，依次获取多源信号、完成时间同步与状态融合，并根据状态偏差生成控制参数修正量。</w:t>
      </w:r>
    </w:p>
    <w:p>
      <w:pPr>
        <w:ind w:firstLine="420"/>
      </w:pPr>
      <w:r>
        <w:rPr>
          <w:rFonts w:ascii="Times New Roman" w:hAnsi="Times New Roman" w:eastAsia="宋体"/>
          <w:b w:val="0"/>
          <w:sz w:val="24"/>
        </w:rPr>
        <w:t>SYNTHETIC DEMO DATA：在人工构造的传感噪声场景下，与等权融合演示基线相比，状态估计均方误差由0.082降至0.061；该数值仅用于测试证据标记、表述和校验，不得作为真实实验结果或申请事实。</w:t>
      </w:r>
    </w:p>
    <w:p>
      <w:pPr>
        <w:pStyle w:val="Heading1"/>
        <w:jc w:val="left"/>
      </w:pPr>
      <w:r>
        <w:rPr>
          <w:rFonts w:ascii="Times New Roman" w:hAnsi="Times New Roman" w:eastAsia="黑体"/>
          <w:b/>
          <w:sz w:val="28"/>
        </w:rPr>
        <w:t>10. 可替代实施方式</w:t>
      </w:r>
    </w:p>
    <w:p>
      <w:pPr>
        <w:ind w:firstLine="420"/>
      </w:pPr>
      <w:r>
        <w:rPr>
          <w:rFonts w:ascii="Times New Roman" w:hAnsi="Times New Roman" w:eastAsia="宋体"/>
          <w:b w:val="0"/>
          <w:sz w:val="24"/>
        </w:rPr>
        <w:t>状态采集单元可仅使用振动、电流和温度中的两种信号。</w:t>
      </w:r>
    </w:p>
    <w:p>
      <w:pPr>
        <w:ind w:firstLine="420"/>
      </w:pPr>
      <w:r>
        <w:rPr>
          <w:rFonts w:ascii="Times New Roman" w:hAnsi="Times New Roman" w:eastAsia="宋体"/>
          <w:b w:val="0"/>
          <w:sz w:val="24"/>
        </w:rPr>
        <w:t>置信度权重可由信噪比、缺失率或传感器自检状态确定。</w:t>
      </w:r>
    </w:p>
    <w:p>
      <w:pPr>
        <w:ind w:firstLine="420"/>
      </w:pPr>
      <w:r>
        <w:rPr>
          <w:rFonts w:ascii="Times New Roman" w:hAnsi="Times New Roman" w:eastAsia="宋体"/>
          <w:b w:val="0"/>
          <w:sz w:val="24"/>
        </w:rPr>
        <w:t>控制处理单元可采用PI控制、模型预测控制或其他有来源支持的控制方式。</w:t>
      </w:r>
    </w:p>
    <w:p>
      <w:pPr>
        <w:pStyle w:val="Heading1"/>
        <w:jc w:val="left"/>
      </w:pPr>
      <w:r>
        <w:rPr>
          <w:rFonts w:ascii="Times New Roman" w:hAnsi="Times New Roman" w:eastAsia="黑体"/>
          <w:b/>
          <w:sz w:val="28"/>
        </w:rPr>
        <w:t>11. 关键创新点与拟保护点</w:t>
      </w:r>
    </w:p>
    <w:p>
      <w:pPr>
        <w:ind w:firstLine="420"/>
      </w:pPr>
      <w:r>
        <w:rPr>
          <w:rFonts w:ascii="Times New Roman" w:hAnsi="Times New Roman" w:eastAsia="宋体"/>
          <w:b w:val="0"/>
          <w:sz w:val="24"/>
        </w:rPr>
        <w:t>预期保护的核心组合为：将多源状态融合结果直接用于生成电机控制参数修正量。</w:t>
      </w:r>
    </w:p>
    <w:p>
      <w:pPr>
        <w:pStyle w:val="Heading1"/>
        <w:jc w:val="left"/>
      </w:pPr>
      <w:r>
        <w:rPr>
          <w:rFonts w:ascii="Times New Roman" w:hAnsi="Times New Roman" w:eastAsia="黑体"/>
          <w:b/>
          <w:sz w:val="28"/>
        </w:rPr>
        <w:t>12. 需要发明人进一步确认的问题</w:t>
      </w:r>
    </w:p>
    <w:p>
      <w:pPr>
        <w:ind w:firstLine="420"/>
      </w:pPr>
      <w:r>
        <w:rPr>
          <w:rFonts w:ascii="Times New Roman" w:hAnsi="Times New Roman" w:eastAsia="宋体"/>
          <w:b w:val="0"/>
          <w:sz w:val="24"/>
        </w:rPr>
        <w:t>真实样机的传感器型号、采样精度和通信接口待发明人确认。</w:t>
      </w:r>
    </w:p>
    <w:p>
      <w:pPr>
        <w:ind w:firstLine="420"/>
      </w:pPr>
      <w:r>
        <w:rPr>
          <w:rFonts w:ascii="Times New Roman" w:hAnsi="Times New Roman" w:eastAsia="宋体"/>
          <w:b w:val="0"/>
          <w:sz w:val="24"/>
        </w:rPr>
        <w:t>权重约束、控制参数边界和故障安全策略待发明人确认。</w:t>
      </w:r>
    </w:p>
    <w:p>
      <w:pPr>
        <w:ind w:firstLine="420"/>
      </w:pPr>
      <w:r>
        <w:rPr>
          <w:rFonts w:ascii="Times New Roman" w:hAnsi="Times New Roman" w:eastAsia="宋体"/>
          <w:b w:val="0"/>
          <w:sz w:val="24"/>
        </w:rPr>
        <w:t>公开日期、发明人和权属信息待确认。</w:t>
      </w:r>
    </w:p>
    <w:sectPr w:rsidR="00FC693F" w:rsidRPr="0006063C" w:rsidSect="00034616">
      <w:footerReference w:type="default" r:id="rId9"/>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Caption">
    <w:name w:val="Patent Caption"/>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一种基于多源传感信息的电机状态监测与自适应控制方法</dc:title>
  <dc:subject>Patent Agent disclosure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