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Smart Tax Calculation and Financial Planning Management System</w:t>
      </w:r>
    </w:p>
    <w:p>
      <w:pPr>
        <w:spacing w:after="40"/>
        <w:jc w:val="center"/>
      </w:pPr>
      <w:r>
        <w:rPr>
          <w:rFonts w:ascii="Times New Roman" w:cs="Times New Roman" w:eastAsia="Times New Roman" w:hAnsi="Times New Roman"/>
          <w:i/>
          <w:iCs/>
          <w:sz w:val="22"/>
          <w:szCs w:val="22"/>
        </w:rPr>
        <w:t xml:space="preserve">A Literature Survey and Comparative Review</w:t>
      </w:r>
    </w:p>
    <w:p>
      <w:pPr>
        <w:spacing w:after="20"/>
        <w:jc w:val="center"/>
      </w:pPr>
      <w:r>
        <w:rPr>
          <w:rFonts w:ascii="Times New Roman" w:cs="Times New Roman" w:eastAsia="Times New Roman" w:hAnsi="Times New Roman"/>
          <w:sz w:val="22"/>
          <w:szCs w:val="22"/>
        </w:rPr>
        <w:t xml:space="preserve">Lokesh</w:t>
      </w:r>
    </w:p>
    <w:p>
      <w:pPr>
        <w:spacing w:after="200"/>
        <w:jc w:val="center"/>
      </w:pPr>
      <w:r>
        <w:rPr>
          <w:rFonts w:ascii="Times New Roman" w:cs="Times New Roman" w:eastAsia="Times New Roman" w:hAnsi="Times New Roman"/>
          <w:i/>
          <w:iCs/>
          <w:sz w:val="20"/>
          <w:szCs w:val="20"/>
        </w:rPr>
        <w:t xml:space="preserve">Department of Computer Science and Engineering, SIMATS Engineering (Saveetha School of Engineering)</w:t>
      </w:r>
    </w:p>
    <w:p>
      <w:pPr>
        <w:spacing w:after="120"/>
        <w:ind w:firstLine="288"/>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—Taxation and personal financial planning remain two of the most complex, error-prone, and time-consuming activities faced by individuals and small businesses. Rapidly changing tax regulations, fragmented financial data, and low financial literacy motivate the design of intelligent, unified software systems capable of automating tax computation while simultaneously guiding users toward sound financial planning. This paper presents a literature survey of fifty research papers spanning automated tax computation, artificial-intelligence-assisted filing, tax-fraud and VAT-fraud detection, blockchain-based GST/VAT systems, machine-learning-driven personal finance management, robo-advisory platforms, conversational AI financial assistants, expense-tracking applications, credit-scoring systems, financial-literacy gamification, and cloud-native fintech architectures. The objectives, methodologies, datasets, and key findings of the surveyed works are summarized and compared using a structured comparison table. Based on this review, the paper identifies the limitations of existing systems and the research gaps that motivate the design of an integrated Smart Tax Calculation and Financial Planning Management System, and outlines future research directions for such a system.</w:t>
      </w:r>
    </w:p>
    <w:p>
      <w:pPr>
        <w:spacing w:after="200"/>
        <w:ind w:firstLine="288"/>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—Tax calculation, financial planning, artificial intelligence, machine learning, robo-advisory, blockchain, GST/VAT, tax fraud detection, fintech, literature survey</w:t>
      </w:r>
    </w:p>
    <w:p>
      <w:pPr>
        <w:sectPr>
          <w:pgSz w:w="11906" w:h="16838" w:orient="portrait"/>
          <w:pgMar w:top="1440" w:right="1080" w:bottom="1440" w:left="1080" w:header="708" w:footer="708" w:gutter="0"/>
          <w:pgNumType/>
          <w:cols w:num="1"/>
          <w:docGrid w:linePitch="360"/>
        </w:sectPr>
      </w:pPr>
    </w:p>
    <w:p>
      <w:pPr>
        <w:spacing w:after="120" w:before="200"/>
        <w:jc w:val="center"/>
      </w:pPr>
      <w:r>
        <w:rPr>
          <w:rFonts w:ascii="Times New Roman" w:cs="Times New Roman" w:eastAsia="Times New Roman" w:hAnsi="Times New Roman"/>
          <w:b/>
          <w:bCs/>
          <w:smallCaps/>
          <w:sz w:val="20"/>
          <w:szCs w:val="20"/>
        </w:rPr>
        <w:t xml:space="preserve">I. Introduction</w:t>
      </w:r>
    </w:p>
    <w:p>
      <w:pPr>
        <w:spacing w:after="120" w:line="240"/>
        <w:ind w:firstLine="288"/>
        <w:jc w:val="both"/>
      </w:pPr>
      <w:r>
        <w:rPr>
          <w:rFonts w:ascii="Times New Roman" w:cs="Times New Roman" w:eastAsia="Times New Roman" w:hAnsi="Times New Roman"/>
          <w:sz w:val="20"/>
          <w:szCs w:val="20"/>
        </w:rPr>
        <w:t xml:space="preserve">Income tax computation and personal financial planning are activities that touch nearly every working individual, yet both remain difficult to perform correctly without expert assistance. Tax slabs, deductions, exemptions, and compliance rules change frequently, and taxpayers often lack the time or expertise to compute their liability accurately or to plan investments, savings, and expenditures in a way that optimizes their long-term financial well-being. At the same time, the financial technology (fintech) industry has produced a wide range of point solutions — expense trackers, robo-advisors, chatbots, and fraud-detection engines — that address individual pieces of this problem but rarely combine them into a single coherent platform.</w:t>
      </w:r>
    </w:p>
    <w:p>
      <w:pPr>
        <w:spacing w:after="120" w:line="240"/>
        <w:ind w:firstLine="288"/>
        <w:jc w:val="both"/>
      </w:pPr>
      <w:r>
        <w:rPr>
          <w:rFonts w:ascii="Times New Roman" w:cs="Times New Roman" w:eastAsia="Times New Roman" w:hAnsi="Times New Roman"/>
          <w:sz w:val="20"/>
          <w:szCs w:val="20"/>
        </w:rPr>
        <w:t xml:space="preserve">A Smart Tax Calculation and Financial Planning Management System aims to close this gap by combining rule-based and intelligent tax computation with personalized financial planning, all within one application. Before designing such a system, it is essential to understand what has already been attempted in the literature, what technologies and datasets have been used, what results have been achieved, and what limitations remain. This paper therefore conducts a structured literature survey of fifty research papers relevant to the assigned problem statement, drawn from IEEE Xplore, ACM Digital Library, ScienceDirect, SpringerLink, arXiv, and other scholarly repositories.</w:t>
      </w:r>
    </w:p>
    <w:p>
      <w:pPr>
        <w:spacing w:after="120" w:line="240"/>
        <w:ind w:firstLine="288"/>
        <w:jc w:val="both"/>
      </w:pPr>
      <w:r>
        <w:rPr>
          <w:rFonts w:ascii="Times New Roman" w:cs="Times New Roman" w:eastAsia="Times New Roman" w:hAnsi="Times New Roman"/>
          <w:sz w:val="20"/>
          <w:szCs w:val="20"/>
        </w:rPr>
        <w:t xml:space="preserve">The remainder of this paper is organized as follows. Section II describes the review methodology. Section III presents the literature survey, grouped into eleven thematic sub-areas. Section IV presents a comparative analysis of representative papers. Section V discusses the limitations of existing approaches. Section VI identifies the research gaps. Section VII outlines proposed future directions for the Smart Tax Calculation and Financial Planning Management System, and Section VIII concludes the paper.</w:t>
      </w:r>
    </w:p>
    <w:p>
      <w:pPr>
        <w:spacing w:after="120" w:before="200"/>
        <w:jc w:val="center"/>
      </w:pPr>
      <w:r>
        <w:rPr>
          <w:rFonts w:ascii="Times New Roman" w:cs="Times New Roman" w:eastAsia="Times New Roman" w:hAnsi="Times New Roman"/>
          <w:b/>
          <w:bCs/>
          <w:smallCaps/>
          <w:sz w:val="20"/>
          <w:szCs w:val="20"/>
        </w:rPr>
        <w:t xml:space="preserve">II. Review Methodology</w:t>
      </w:r>
    </w:p>
    <w:p>
      <w:pPr>
        <w:spacing w:after="120" w:line="240"/>
        <w:ind w:firstLine="288"/>
        <w:jc w:val="both"/>
      </w:pPr>
      <w:r>
        <w:rPr>
          <w:rFonts w:ascii="Times New Roman" w:cs="Times New Roman" w:eastAsia="Times New Roman" w:hAnsi="Times New Roman"/>
          <w:sz w:val="20"/>
          <w:szCs w:val="20"/>
        </w:rPr>
        <w:t xml:space="preserve">Papers were identified using keyword searches such as “tax calculation system,” “AI tax filing,” “tax fraud detection machine learning,” “blockchain GST/VAT,” “personal finance management machine learning,” “robo-advisor literature review,” “financial chatbot NLP,” “expense tracker application,” “credit scoring machine learning,” “financial literacy gamification,” and “microservices fintech architecture.” Papers were selected based on relevance to tax computation or financial planning, recency, and the presence of a clearly stated objective, methodology, and outcome. A total of fifty papers, spanning peer-reviewed journals, IEEE/ACM conference proceedings, and reputable preprint archives, were shortlisted and reviewed in depth; their objectives, methods, datasets/tools, and findings were extracted and compared, as reported in Sections III and IV.</w:t>
      </w:r>
    </w:p>
    <w:p>
      <w:pPr>
        <w:spacing w:after="120" w:before="200"/>
        <w:jc w:val="center"/>
      </w:pPr>
      <w:r>
        <w:rPr>
          <w:rFonts w:ascii="Times New Roman" w:cs="Times New Roman" w:eastAsia="Times New Roman" w:hAnsi="Times New Roman"/>
          <w:b/>
          <w:bCs/>
          <w:smallCaps/>
          <w:sz w:val="20"/>
          <w:szCs w:val="20"/>
        </w:rPr>
        <w:t xml:space="preserve">III. Literature Survey</w:t>
      </w:r>
    </w:p>
    <w:p>
      <w:pPr>
        <w:spacing w:after="80" w:before="160"/>
      </w:pPr>
      <w:r>
        <w:rPr>
          <w:rFonts w:ascii="Times New Roman" w:cs="Times New Roman" w:eastAsia="Times New Roman" w:hAnsi="Times New Roman"/>
          <w:b/>
          <w:bCs/>
          <w:i/>
          <w:iCs/>
          <w:sz w:val="20"/>
          <w:szCs w:val="20"/>
        </w:rPr>
        <w:t xml:space="preserve">A. Automated and AI-Assisted Tax Calculation</w:t>
      </w:r>
    </w:p>
    <w:p>
      <w:pPr>
        <w:spacing w:after="120" w:line="240"/>
        <w:ind w:firstLine="288"/>
        <w:jc w:val="both"/>
      </w:pPr>
      <w:r>
        <w:rPr>
          <w:rFonts w:ascii="Times New Roman" w:cs="Times New Roman" w:eastAsia="Times New Roman" w:hAnsi="Times New Roman"/>
          <w:sz w:val="20"/>
          <w:szCs w:val="20"/>
        </w:rPr>
        <w:t xml:space="preserve">Early tax-computation tools focused on digitizing manual slab-based calculations. An Android-based application for computing income tax, pension, zakat, and loan repayments demonstrates a modular, form-driven approach in which users enter salary and deduction details to obtain an instant tax figure [10]. More recent work moves beyond static rule engines: an AI-powered tax calculation and Income Tax Return (ITR) suggestion system combines Retrieval-Augmented Generation (RAG) with large language models to read financial data directly from accounting exports, apply current tax rules, recommend the correct ITR form, and generate human-readable explanations of the computed liability [9]. This shift from rigid rule-based calculators toward explainable, data-driven assistants is a recurring theme relevant to the assigned problem statement.</w:t>
      </w:r>
    </w:p>
    <w:p>
      <w:pPr>
        <w:spacing w:after="80" w:before="160"/>
      </w:pPr>
      <w:r>
        <w:rPr>
          <w:rFonts w:ascii="Times New Roman" w:cs="Times New Roman" w:eastAsia="Times New Roman" w:hAnsi="Times New Roman"/>
          <w:b/>
          <w:bCs/>
          <w:i/>
          <w:iCs/>
          <w:sz w:val="20"/>
          <w:szCs w:val="20"/>
        </w:rPr>
        <w:t xml:space="preserve">B. Tax Policy Optimization and Simulation</w:t>
      </w:r>
    </w:p>
    <w:p>
      <w:pPr>
        <w:spacing w:after="120" w:line="240"/>
        <w:ind w:firstLine="288"/>
        <w:jc w:val="both"/>
      </w:pPr>
      <w:r>
        <w:rPr>
          <w:rFonts w:ascii="Times New Roman" w:cs="Times New Roman" w:eastAsia="Times New Roman" w:hAnsi="Times New Roman"/>
          <w:sz w:val="20"/>
          <w:szCs w:val="20"/>
        </w:rPr>
        <w:t xml:space="preserve">A separate stream of work studies taxation from a policy-design perspective using agent-based and reinforcement-learning models. The AI Economist framework uses two-level deep multi-agent reinforcement learning to discover tax schedules that balance economic equality against productivity, learning policies that outperform conventional schemes such as the Saez tax formula in simulation [12], [13]. Complementary econophysics work models taxpayer behavior and evasion dynamics using agent-based simulation to study how compliance spreads through a population [11]. Interactive visual-analytics systems such as TaxThemis assist human tax officers in identifying suspicious groups of taxpayers by visualizing transaction and relationship graphs [14]. While these works target regulators rather than individual taxpayers, they demonstrate how simulation and reinforcement learning can inform the design of adaptive, rule-updating tax engines.</w:t>
      </w:r>
    </w:p>
    <w:p>
      <w:pPr>
        <w:spacing w:after="80" w:before="160"/>
      </w:pPr>
      <w:r>
        <w:rPr>
          <w:rFonts w:ascii="Times New Roman" w:cs="Times New Roman" w:eastAsia="Times New Roman" w:hAnsi="Times New Roman"/>
          <w:b/>
          <w:bCs/>
          <w:i/>
          <w:iCs/>
          <w:sz w:val="20"/>
          <w:szCs w:val="20"/>
        </w:rPr>
        <w:t xml:space="preserve">C. Machine Learning for Tax and VAT Fraud Detection</w:t>
      </w:r>
    </w:p>
    <w:p>
      <w:pPr>
        <w:spacing w:after="120" w:line="240"/>
        <w:ind w:firstLine="288"/>
        <w:jc w:val="both"/>
      </w:pPr>
      <w:r>
        <w:rPr>
          <w:rFonts w:ascii="Times New Roman" w:cs="Times New Roman" w:eastAsia="Times New Roman" w:hAnsi="Times New Roman"/>
          <w:sz w:val="20"/>
          <w:szCs w:val="20"/>
        </w:rPr>
        <w:t xml:space="preserve">A substantial body of research applies supervised and unsupervised machine learning to detect tax fraud and evasion. Comparative studies evaluate Random Forest, Decision Tree, Artificial Neural Network, Logistic Regression, GaussianNB, and XGBoost classifiers on national tax datasets, generally finding neural-network and ensemble models most robust for flagging fraudulent filings [15], [16], [17]. Because audited (labelled) tax returns are scarce, several works turn to unsupervised anomaly detection: a network-and-machine-learning approach detects Value-Added-Tax (VAT) fraud rings by combining transaction-graph features with clustering [19], while an unsupervised approach specifically targets under-reporting declarations where labelled fraud examples are unavailable, later combined with supervised refinement in a multi-module framework [18], [15]. Related e-commerce fraud-detection research frames fraud detection as an organizational, not purely algorithmic, problem and proposes a research agenda covering false positives, adversarial adaptation, and operational integration [20] — considerations equally relevant to a tax-fraud module embedded in a personal tax-planning system.</w:t>
      </w:r>
    </w:p>
    <w:p>
      <w:pPr>
        <w:spacing w:after="80" w:before="160"/>
      </w:pPr>
      <w:r>
        <w:rPr>
          <w:rFonts w:ascii="Times New Roman" w:cs="Times New Roman" w:eastAsia="Times New Roman" w:hAnsi="Times New Roman"/>
          <w:b/>
          <w:bCs/>
          <w:i/>
          <w:iCs/>
          <w:sz w:val="20"/>
          <w:szCs w:val="20"/>
        </w:rPr>
        <w:t xml:space="preserve">D. Blockchain-Based GST/VAT Systems</w:t>
      </w:r>
    </w:p>
    <w:p>
      <w:pPr>
        <w:spacing w:after="120" w:line="240"/>
        <w:ind w:firstLine="288"/>
        <w:jc w:val="both"/>
      </w:pPr>
      <w:r>
        <w:rPr>
          <w:rFonts w:ascii="Times New Roman" w:cs="Times New Roman" w:eastAsia="Times New Roman" w:hAnsi="Times New Roman"/>
          <w:sz w:val="20"/>
          <w:szCs w:val="20"/>
        </w:rPr>
        <w:t xml:space="preserve">To address invoice forgery and reconciliation delays in indirect-tax systems, several papers propose blockchain-based Goods and Services Tax (GST) or VAT networks. GSTChain proposes a permissioned blockchain that tracks invoice serial numbers between buyers, sellers, and tax authorities to prevent duplicate or fraudulent input-tax-credit claims [21]. A related GST network design automates real-time reporting and two-sided invoice validation through smart contracts, and a subsequent study proposes dynamic priority-based leader election to improve the throughput of such a blockchain-based GST network [22], [27]. Systematic reviews of blockchain applications in VAT collection conclude that a permissioned private-blockchain architecture is best suited to tax use cases because it balances transparency with the confidentiality required for taxpayer data [23], [25]. Country-specific implementations include a Hyperledger-Fabric-based e-Faktur (VAT invoice) system for Indonesia that emphasizes data immutability and resilience against tampering [24], and a blockchain-based invoice-management prototype aimed at improving transparency between customers, merchants, and tax authorities [26].</w:t>
      </w:r>
    </w:p>
    <w:p>
      <w:pPr>
        <w:spacing w:after="80" w:before="160"/>
      </w:pPr>
      <w:r>
        <w:rPr>
          <w:rFonts w:ascii="Times New Roman" w:cs="Times New Roman" w:eastAsia="Times New Roman" w:hAnsi="Times New Roman"/>
          <w:b/>
          <w:bCs/>
          <w:i/>
          <w:iCs/>
          <w:sz w:val="20"/>
          <w:szCs w:val="20"/>
        </w:rPr>
        <w:t xml:space="preserve">E. Machine Learning for Personal Finance Management</w:t>
      </w:r>
    </w:p>
    <w:p>
      <w:pPr>
        <w:spacing w:after="120" w:line="240"/>
        <w:ind w:firstLine="288"/>
        <w:jc w:val="both"/>
      </w:pPr>
      <w:r>
        <w:rPr>
          <w:rFonts w:ascii="Times New Roman" w:cs="Times New Roman" w:eastAsia="Times New Roman" w:hAnsi="Times New Roman"/>
          <w:sz w:val="20"/>
          <w:szCs w:val="20"/>
        </w:rPr>
        <w:t xml:space="preserve">Parallel to tax-focused research, many papers apply machine learning to personal financial planning. Predictive-budgeting systems combine deep learning and reinforcement learning with CNN-based anomaly detection to flag unusual spending and forecast future budgets from transaction histories [1]. AI-driven personal finance systems built on Flask and scikit-learn combine rule-based logic with regression models to predict future expenses and recommend savings instruments such as SIPs, fixed deposits, and mutual funds [2]. Comparative studies of linear regression, recurrent neural networks, and logistic regression report accuracies in the 83–87% range for expenditure prediction, stock-price forecasting, and retirement-readiness classification respectively [3]. Reviews of machine-learning applications in personal finance further highlight fraud detection, credit scoring, algorithmic trading, and explainable-AI (XAI) requirements as recurring themes [5], and industry-scale systems such as MyFinanceAI report pilot studies of roughly a thousand users showing measurable reductions in financial stress and improved savings behavior [6]. Multi-layered AI-enabled insight platforms and reinforcement-learning-based financial-strategy simulators that incorporate behavioral-economics constructs such as loss aversion further extend this line of work toward personalized investment-allocation advice [7], [8], [4].</w:t>
      </w:r>
    </w:p>
    <w:p>
      <w:pPr>
        <w:spacing w:after="80" w:before="160"/>
      </w:pPr>
      <w:r>
        <w:rPr>
          <w:rFonts w:ascii="Times New Roman" w:cs="Times New Roman" w:eastAsia="Times New Roman" w:hAnsi="Times New Roman"/>
          <w:b/>
          <w:bCs/>
          <w:i/>
          <w:iCs/>
          <w:sz w:val="20"/>
          <w:szCs w:val="20"/>
        </w:rPr>
        <w:t xml:space="preserve">F. Robo-Advisory and Algorithmic Investment Planning</w:t>
      </w:r>
    </w:p>
    <w:p>
      <w:pPr>
        <w:spacing w:after="120" w:line="240"/>
        <w:ind w:firstLine="288"/>
        <w:jc w:val="both"/>
      </w:pPr>
      <w:r>
        <w:rPr>
          <w:rFonts w:ascii="Times New Roman" w:cs="Times New Roman" w:eastAsia="Times New Roman" w:hAnsi="Times New Roman"/>
          <w:sz w:val="20"/>
          <w:szCs w:val="20"/>
        </w:rPr>
        <w:t xml:space="preserve">Robo-advisors — algorithm-driven platforms that automate investment management with little or no human involvement — have attracted extensive systematic review. A PRISMA-based review of the robo-advisory literature reports rapid growth in publications after 2020 and identifies investor risk-profile and adoption studies as dominant themes [28]. Broader systematic reviews organize the field into four research streams — classification, behavioral aspects, performance, and algorithmic modelization — and propose future research questions for each [30], while a TCCM-framework review of seventy-one peer-reviewed articles similarly finds the literature fragmented despite rapid retail adoption [31]. Behavioral-finance-oriented reviews caution that robo-advisors cannot fully replicate the relationship-based trust of human advisors and may embed human bias within seemingly rational algorithms [29], and studies applying logistic regression, decision trees, random forests, and boosting to national financial-capability survey data show that logistic regression best predicts which individuals are likely to adopt robo-advisory services [32].</w:t>
      </w:r>
    </w:p>
    <w:p>
      <w:pPr>
        <w:spacing w:after="80" w:before="160"/>
      </w:pPr>
      <w:r>
        <w:rPr>
          <w:rFonts w:ascii="Times New Roman" w:cs="Times New Roman" w:eastAsia="Times New Roman" w:hAnsi="Times New Roman"/>
          <w:b/>
          <w:bCs/>
          <w:i/>
          <w:iCs/>
          <w:sz w:val="20"/>
          <w:szCs w:val="20"/>
        </w:rPr>
        <w:t xml:space="preserve">G. Conversational AI and NLP-Based Financial Assistants</w:t>
      </w:r>
    </w:p>
    <w:p>
      <w:pPr>
        <w:spacing w:after="120" w:line="240"/>
        <w:ind w:firstLine="288"/>
        <w:jc w:val="both"/>
      </w:pPr>
      <w:r>
        <w:rPr>
          <w:rFonts w:ascii="Times New Roman" w:cs="Times New Roman" w:eastAsia="Times New Roman" w:hAnsi="Times New Roman"/>
          <w:sz w:val="20"/>
          <w:szCs w:val="20"/>
        </w:rPr>
        <w:t xml:space="preserve">Natural Language Processing (NLP) increasingly powers customer-facing financial assistants. Comparative studies of chatbots and recommendation systems in fintech report that NLP-driven conversational agents improve customer support automation, personalized advice, and fraud-alert delivery while raising concerns about data privacy and algorithmic bias [33], [34]. Domain-specific chatbot prototypes combine sentiment analysis with financial-advice generation to provide emotional as well as financial support to stressed users [35], and financial-advisor applications such as FinAID integrate NLP, machine learning, and real-time data analytics to automate expense tracking, savings recommendations, and goal-based planning [36]. Reviews of NLP in conversational banking summarize case studies across banks, fintech firms, and insurers, concluding that NLP materially improves customer satisfaction and operational efficiency despite persistent challenges around language ambiguity and complex multi-intent queries [37]. Systems such as Capit-AI illustrate how NLP-based chatbot interfaces can be layered on top of predictive investment-recommendation models to deliver conversational financial advisory services [38], and general-purpose NLP-chatbot design studies provide reusable architectural guidance — intent recognition, dialogue management, and response generation — that is directly transferable to a tax-and-finance assistant [39], [40].</w:t>
      </w:r>
    </w:p>
    <w:p>
      <w:pPr>
        <w:spacing w:after="80" w:before="160"/>
      </w:pPr>
      <w:r>
        <w:rPr>
          <w:rFonts w:ascii="Times New Roman" w:cs="Times New Roman" w:eastAsia="Times New Roman" w:hAnsi="Times New Roman"/>
          <w:b/>
          <w:bCs/>
          <w:i/>
          <w:iCs/>
          <w:sz w:val="20"/>
          <w:szCs w:val="20"/>
        </w:rPr>
        <w:t xml:space="preserve">H. Expense Tracking and Budgeting Applications</w:t>
      </w:r>
    </w:p>
    <w:p>
      <w:pPr>
        <w:spacing w:after="120" w:line="240"/>
        <w:ind w:firstLine="288"/>
        <w:jc w:val="both"/>
      </w:pPr>
      <w:r>
        <w:rPr>
          <w:rFonts w:ascii="Times New Roman" w:cs="Times New Roman" w:eastAsia="Times New Roman" w:hAnsi="Times New Roman"/>
          <w:sz w:val="20"/>
          <w:szCs w:val="20"/>
        </w:rPr>
        <w:t xml:space="preserve">Numerous student and industry projects describe the design of expense-tracking and budgeting mobile applications, which form a foundational module of most personal-finance systems. Common features include categorized transaction entry, visual spending summaries, budget-threshold alerts, and multi-period (daily/weekly/monthly) reporting [41], [43], [44]. Case studies of budget-tracker applications built following full software-development-lifecycle processes report that both students and working professionals struggle to track income and expenses consistently without such tools, motivating simple, low-friction interfaces [44]. More recent projects extend the basic tracker with shared/group-expense functionality [45] and highlight the value of visual analytics (charts and dashboards) in helping users identify avoidable spending [42].</w:t>
      </w:r>
    </w:p>
    <w:p>
      <w:pPr>
        <w:spacing w:after="80" w:before="160"/>
      </w:pPr>
      <w:r>
        <w:rPr>
          <w:rFonts w:ascii="Times New Roman" w:cs="Times New Roman" w:eastAsia="Times New Roman" w:hAnsi="Times New Roman"/>
          <w:b/>
          <w:bCs/>
          <w:i/>
          <w:iCs/>
          <w:sz w:val="20"/>
          <w:szCs w:val="20"/>
        </w:rPr>
        <w:t xml:space="preserve">I. Credit Scoring and Loan Risk Assessment</w:t>
      </w:r>
    </w:p>
    <w:p>
      <w:pPr>
        <w:spacing w:after="120" w:line="240"/>
        <w:ind w:firstLine="288"/>
        <w:jc w:val="both"/>
      </w:pPr>
      <w:r>
        <w:rPr>
          <w:rFonts w:ascii="Times New Roman" w:cs="Times New Roman" w:eastAsia="Times New Roman" w:hAnsi="Times New Roman"/>
          <w:sz w:val="20"/>
          <w:szCs w:val="20"/>
        </w:rPr>
        <w:t xml:space="preserve">Because financial planning often includes loan and credit decisions, credit-scoring research is directly relevant. An integrated machine-learning and deep-learning framework for credit-card-approval prediction combines ensemble classifiers with neural networks and SMOTE-based class-balancing to handle the inherent imbalance between creditworthy and non-creditworthy applicants [46]. A comparative study of Random Forest, XGBoost, and stacking/voting ensembles for automated loan-eligibility assessment reports an F1-score of 87.17% and recall of 95.32% after hyperparameter tuning with GridSearchCV, while emphasizing explainability and fairness as open concerns [47]. A systematic literature review covering sixty-three papers published between 2018 and 2024 catalogues the ML methods most used in credit scoring and highlights class imbalance and interpretability as recurring challenges across the field [48].</w:t>
      </w:r>
    </w:p>
    <w:p>
      <w:pPr>
        <w:spacing w:after="80" w:before="160"/>
      </w:pPr>
      <w:r>
        <w:rPr>
          <w:rFonts w:ascii="Times New Roman" w:cs="Times New Roman" w:eastAsia="Times New Roman" w:hAnsi="Times New Roman"/>
          <w:b/>
          <w:bCs/>
          <w:i/>
          <w:iCs/>
          <w:sz w:val="20"/>
          <w:szCs w:val="20"/>
        </w:rPr>
        <w:t xml:space="preserve">J. Financial Literacy and Gamification</w:t>
      </w:r>
    </w:p>
    <w:p>
      <w:pPr>
        <w:spacing w:after="120" w:line="240"/>
        <w:ind w:firstLine="288"/>
        <w:jc w:val="both"/>
      </w:pPr>
      <w:r>
        <w:rPr>
          <w:rFonts w:ascii="Times New Roman" w:cs="Times New Roman" w:eastAsia="Times New Roman" w:hAnsi="Times New Roman"/>
          <w:sz w:val="20"/>
          <w:szCs w:val="20"/>
        </w:rPr>
        <w:t xml:space="preserve">Because a smart tax-and-finance platform must also improve user understanding, gamified financial-literacy applications are a relevant design reference. A mobile-learning application aimed at young people uses gamification elements — challenges, achievements, and progress tracking — to raise measured financial-literacy scores, based on a structured survey of university students [49]. This body of work suggests that embedding short, game-like modules within a tax-and-planning application can improve user engagement and comprehension of otherwise dry regulatory content.</w:t>
      </w:r>
    </w:p>
    <w:p>
      <w:pPr>
        <w:spacing w:after="80" w:before="160"/>
      </w:pPr>
      <w:r>
        <w:rPr>
          <w:rFonts w:ascii="Times New Roman" w:cs="Times New Roman" w:eastAsia="Times New Roman" w:hAnsi="Times New Roman"/>
          <w:b/>
          <w:bCs/>
          <w:i/>
          <w:iCs/>
          <w:sz w:val="20"/>
          <w:szCs w:val="20"/>
        </w:rPr>
        <w:t xml:space="preserve">K. Cloud-Native and Microservices Architecture for Fintech</w:t>
      </w:r>
    </w:p>
    <w:p>
      <w:pPr>
        <w:spacing w:after="120" w:line="240"/>
        <w:ind w:firstLine="288"/>
        <w:jc w:val="both"/>
      </w:pPr>
      <w:r>
        <w:rPr>
          <w:rFonts w:ascii="Times New Roman" w:cs="Times New Roman" w:eastAsia="Times New Roman" w:hAnsi="Times New Roman"/>
          <w:sz w:val="20"/>
          <w:szCs w:val="20"/>
        </w:rPr>
        <w:t xml:space="preserve">Finally, several papers address the backend architecture needed to make such systems scalable and secure. A cloud-computing and microservices architecture for financial applications built on AWS demonstrates how Infrastructure-as-a-Service and Platform-as-a-Service models, combined with TLS encryption, OAuth2/JWT-based access control, and a zero-trust design, can support fraud detection and regulatory compliance at scale [50]. This architectural pattern — independently deployable services behind an API gateway — is well suited to a tax-calculation-and-planning platform, where tax-rule computation, fraud screening, chatbot advisory, and expense tracking can each be implemented as separately scalable services.</w:t>
      </w:r>
    </w:p>
    <w:p>
      <w:pPr>
        <w:sectPr>
          <w:type w:val="continuous"/>
          <w:pgSz w:w="11906" w:h="16838" w:orient="portrait"/>
          <w:pgMar w:top="1440" w:right="1080" w:bottom="1440" w:left="1080" w:header="708" w:footer="708" w:gutter="0"/>
          <w:pgNumType/>
          <w:cols w:space="360" w:num="2"/>
          <w:docGrid w:linePitch="360"/>
        </w:sectPr>
      </w:pPr>
    </w:p>
    <w:p>
      <w:pPr>
        <w:spacing w:after="40" w:before="200"/>
        <w:jc w:val="center"/>
      </w:pPr>
      <w:r>
        <w:rPr>
          <w:rFonts w:ascii="Times New Roman" w:cs="Times New Roman" w:eastAsia="Times New Roman" w:hAnsi="Times New Roman"/>
          <w:b/>
          <w:bCs/>
          <w:sz w:val="18"/>
          <w:szCs w:val="18"/>
        </w:rPr>
        <w:t xml:space="preserve">TABLE I</w:t>
      </w:r>
    </w:p>
    <w:p>
      <w:pPr>
        <w:spacing w:after="120"/>
        <w:jc w:val="center"/>
      </w:pPr>
      <w:r>
        <w:rPr>
          <w:rFonts w:ascii="Times New Roman" w:cs="Times New Roman" w:eastAsia="Times New Roman" w:hAnsi="Times New Roman"/>
          <w:b/>
          <w:bCs/>
          <w:sz w:val="18"/>
          <w:szCs w:val="18"/>
        </w:rPr>
        <w:t xml:space="preserve">Comparative Analysis of Representative Reviewed Papers</w:t>
      </w:r>
    </w:p>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400"/>
            <w:shd w:fill="D9D9D9" w:val="clear"/>
          </w:tcPr>
          <w:p>
            <w:pPr>
              <w:spacing w:after="0"/>
            </w:pPr>
            <w:r>
              <w:rPr>
                <w:rFonts w:ascii="Times New Roman" w:cs="Times New Roman" w:eastAsia="Times New Roman" w:hAnsi="Times New Roman"/>
                <w:b/>
                <w:bCs/>
                <w:sz w:val="15"/>
                <w:szCs w:val="15"/>
              </w:rPr>
              <w:t xml:space="preserve">Ref.</w:t>
            </w:r>
          </w:p>
        </w:tc>
        <w:tc>
          <w:tcPr>
            <w:tcW w:type="dxa" w:w="1300"/>
            <w:shd w:fill="D9D9D9" w:val="clear"/>
          </w:tcPr>
          <w:p>
            <w:pPr>
              <w:spacing w:after="0"/>
            </w:pPr>
            <w:r>
              <w:rPr>
                <w:rFonts w:ascii="Times New Roman" w:cs="Times New Roman" w:eastAsia="Times New Roman" w:hAnsi="Times New Roman"/>
                <w:b/>
                <w:bCs/>
                <w:sz w:val="15"/>
                <w:szCs w:val="15"/>
              </w:rPr>
              <w:t xml:space="preserve">Focus Area</w:t>
            </w:r>
          </w:p>
        </w:tc>
        <w:tc>
          <w:tcPr>
            <w:tcW w:type="dxa" w:w="1600"/>
            <w:shd w:fill="D9D9D9" w:val="clear"/>
          </w:tcPr>
          <w:p>
            <w:pPr>
              <w:spacing w:after="0"/>
            </w:pPr>
            <w:r>
              <w:rPr>
                <w:rFonts w:ascii="Times New Roman" w:cs="Times New Roman" w:eastAsia="Times New Roman" w:hAnsi="Times New Roman"/>
                <w:b/>
                <w:bCs/>
                <w:sz w:val="15"/>
                <w:szCs w:val="15"/>
              </w:rPr>
              <w:t xml:space="preserve">Methodology / Technology</w:t>
            </w:r>
          </w:p>
        </w:tc>
        <w:tc>
          <w:tcPr>
            <w:tcW w:type="dxa" w:w="1550"/>
            <w:shd w:fill="D9D9D9" w:val="clear"/>
          </w:tcPr>
          <w:p>
            <w:pPr>
              <w:spacing w:after="0"/>
            </w:pPr>
            <w:r>
              <w:rPr>
                <w:rFonts w:ascii="Times New Roman" w:cs="Times New Roman" w:eastAsia="Times New Roman" w:hAnsi="Times New Roman"/>
                <w:b/>
                <w:bCs/>
                <w:sz w:val="15"/>
                <w:szCs w:val="15"/>
              </w:rPr>
              <w:t xml:space="preserve">Dataset / Tools</w:t>
            </w:r>
          </w:p>
        </w:tc>
        <w:tc>
          <w:tcPr>
            <w:tcW w:type="dxa" w:w="2200"/>
            <w:shd w:fill="D9D9D9" w:val="clear"/>
          </w:tcPr>
          <w:p>
            <w:pPr>
              <w:spacing w:after="0"/>
            </w:pPr>
            <w:r>
              <w:rPr>
                <w:rFonts w:ascii="Times New Roman" w:cs="Times New Roman" w:eastAsia="Times New Roman" w:hAnsi="Times New Roman"/>
                <w:b/>
                <w:bCs/>
                <w:sz w:val="15"/>
                <w:szCs w:val="15"/>
              </w:rPr>
              <w:t xml:space="preserve">Key Findings</w:t>
            </w:r>
          </w:p>
        </w:tc>
        <w:tc>
          <w:tcPr>
            <w:tcW w:type="dxa" w:w="1830"/>
            <w:shd w:fill="D9D9D9" w:val="clear"/>
          </w:tcPr>
          <w:p>
            <w:pPr>
              <w:spacing w:after="0"/>
            </w:pPr>
            <w:r>
              <w:rPr>
                <w:rFonts w:ascii="Times New Roman" w:cs="Times New Roman" w:eastAsia="Times New Roman" w:hAnsi="Times New Roman"/>
                <w:b/>
                <w:bCs/>
                <w:sz w:val="15"/>
                <w:szCs w:val="15"/>
              </w:rPr>
              <w:t xml:space="preserve">Limitations</w:t>
            </w:r>
          </w:p>
        </w:tc>
      </w:tr>
      <w:tr>
        <w:tc>
          <w:tcPr>
            <w:tcW w:type="dxa" w:w="2400"/>
            <w:vAlign w:val="center"/>
          </w:tcPr>
          <w:p>
            <w:pPr>
              <w:spacing w:after="0"/>
            </w:pPr>
            <w:r>
              <w:rPr>
                <w:rFonts w:ascii="Times New Roman" w:cs="Times New Roman" w:eastAsia="Times New Roman" w:hAnsi="Times New Roman"/>
                <w:sz w:val="15"/>
                <w:szCs w:val="15"/>
              </w:rPr>
              <w:t xml:space="preserve">[9] AI-Powered Tax Calc. (ResearchGate, 2026)</w:t>
            </w:r>
          </w:p>
        </w:tc>
        <w:tc>
          <w:tcPr>
            <w:tcW w:type="dxa" w:w="1300"/>
            <w:vAlign w:val="center"/>
          </w:tcPr>
          <w:p>
            <w:pPr>
              <w:spacing w:after="0"/>
            </w:pPr>
            <w:r>
              <w:rPr>
                <w:rFonts w:ascii="Times New Roman" w:cs="Times New Roman" w:eastAsia="Times New Roman" w:hAnsi="Times New Roman"/>
                <w:sz w:val="15"/>
                <w:szCs w:val="15"/>
              </w:rPr>
              <w:t xml:space="preserve">AI-assisted tax filing</w:t>
            </w:r>
          </w:p>
        </w:tc>
        <w:tc>
          <w:tcPr>
            <w:tcW w:type="dxa" w:w="1600"/>
            <w:vAlign w:val="center"/>
          </w:tcPr>
          <w:p>
            <w:pPr>
              <w:spacing w:after="0"/>
            </w:pPr>
            <w:r>
              <w:rPr>
                <w:rFonts w:ascii="Times New Roman" w:cs="Times New Roman" w:eastAsia="Times New Roman" w:hAnsi="Times New Roman"/>
                <w:sz w:val="15"/>
                <w:szCs w:val="15"/>
              </w:rPr>
              <w:t xml:space="preserve">RAG + LLM, rule-based hybrid</w:t>
            </w:r>
          </w:p>
        </w:tc>
        <w:tc>
          <w:tcPr>
            <w:tcW w:type="dxa" w:w="1550"/>
            <w:vAlign w:val="center"/>
          </w:tcPr>
          <w:p>
            <w:pPr>
              <w:spacing w:after="0"/>
            </w:pPr>
            <w:r>
              <w:rPr>
                <w:rFonts w:ascii="Times New Roman" w:cs="Times New Roman" w:eastAsia="Times New Roman" w:hAnsi="Times New Roman"/>
                <w:sz w:val="15"/>
                <w:szCs w:val="15"/>
              </w:rPr>
              <w:t xml:space="preserve">Tally XML accounting exports</w:t>
            </w:r>
          </w:p>
        </w:tc>
        <w:tc>
          <w:tcPr>
            <w:tcW w:type="dxa" w:w="2200"/>
            <w:vAlign w:val="center"/>
          </w:tcPr>
          <w:p>
            <w:pPr>
              <w:spacing w:after="0"/>
            </w:pPr>
            <w:r>
              <w:rPr>
                <w:rFonts w:ascii="Times New Roman" w:cs="Times New Roman" w:eastAsia="Times New Roman" w:hAnsi="Times New Roman"/>
                <w:sz w:val="15"/>
                <w:szCs w:val="15"/>
              </w:rPr>
              <w:t xml:space="preserve">Automates ITR-form selection and explains liability in plain language</w:t>
            </w:r>
          </w:p>
        </w:tc>
        <w:tc>
          <w:tcPr>
            <w:tcW w:type="dxa" w:w="1830"/>
            <w:vAlign w:val="center"/>
          </w:tcPr>
          <w:p>
            <w:pPr>
              <w:spacing w:after="0"/>
            </w:pPr>
            <w:r>
              <w:rPr>
                <w:rFonts w:ascii="Times New Roman" w:cs="Times New Roman" w:eastAsia="Times New Roman" w:hAnsi="Times New Roman"/>
                <w:sz w:val="15"/>
                <w:szCs w:val="15"/>
              </w:rPr>
              <w:t xml:space="preserve">Depends on quality/format of accounting export; India-specific rules</w:t>
            </w:r>
          </w:p>
        </w:tc>
      </w:tr>
      <w:tr>
        <w:tc>
          <w:tcPr>
            <w:tcW w:type="dxa" w:w="2400"/>
            <w:vAlign w:val="center"/>
          </w:tcPr>
          <w:p>
            <w:pPr>
              <w:spacing w:after="0"/>
            </w:pPr>
            <w:r>
              <w:rPr>
                <w:rFonts w:ascii="Times New Roman" w:cs="Times New Roman" w:eastAsia="Times New Roman" w:hAnsi="Times New Roman"/>
                <w:sz w:val="15"/>
                <w:szCs w:val="15"/>
              </w:rPr>
              <w:t xml:space="preserve">[12],[13] Zheng et al. (2020, 2021)</w:t>
            </w:r>
          </w:p>
        </w:tc>
        <w:tc>
          <w:tcPr>
            <w:tcW w:type="dxa" w:w="1300"/>
            <w:vAlign w:val="center"/>
          </w:tcPr>
          <w:p>
            <w:pPr>
              <w:spacing w:after="0"/>
            </w:pPr>
            <w:r>
              <w:rPr>
                <w:rFonts w:ascii="Times New Roman" w:cs="Times New Roman" w:eastAsia="Times New Roman" w:hAnsi="Times New Roman"/>
                <w:sz w:val="15"/>
                <w:szCs w:val="15"/>
              </w:rPr>
              <w:t xml:space="preserve">Tax policy design</w:t>
            </w:r>
          </w:p>
        </w:tc>
        <w:tc>
          <w:tcPr>
            <w:tcW w:type="dxa" w:w="1600"/>
            <w:vAlign w:val="center"/>
          </w:tcPr>
          <w:p>
            <w:pPr>
              <w:spacing w:after="0"/>
            </w:pPr>
            <w:r>
              <w:rPr>
                <w:rFonts w:ascii="Times New Roman" w:cs="Times New Roman" w:eastAsia="Times New Roman" w:hAnsi="Times New Roman"/>
                <w:sz w:val="15"/>
                <w:szCs w:val="15"/>
              </w:rPr>
              <w:t xml:space="preserve">Two-level deep multi-agent reinforcement learning</w:t>
            </w:r>
          </w:p>
        </w:tc>
        <w:tc>
          <w:tcPr>
            <w:tcW w:type="dxa" w:w="1550"/>
            <w:vAlign w:val="center"/>
          </w:tcPr>
          <w:p>
            <w:pPr>
              <w:spacing w:after="0"/>
            </w:pPr>
            <w:r>
              <w:rPr>
                <w:rFonts w:ascii="Times New Roman" w:cs="Times New Roman" w:eastAsia="Times New Roman" w:hAnsi="Times New Roman"/>
                <w:sz w:val="15"/>
                <w:szCs w:val="15"/>
              </w:rPr>
              <w:t xml:space="preserve">Simulated economy (AI Economist)</w:t>
            </w:r>
          </w:p>
        </w:tc>
        <w:tc>
          <w:tcPr>
            <w:tcW w:type="dxa" w:w="2200"/>
            <w:vAlign w:val="center"/>
          </w:tcPr>
          <w:p>
            <w:pPr>
              <w:spacing w:after="0"/>
            </w:pPr>
            <w:r>
              <w:rPr>
                <w:rFonts w:ascii="Times New Roman" w:cs="Times New Roman" w:eastAsia="Times New Roman" w:hAnsi="Times New Roman"/>
                <w:sz w:val="15"/>
                <w:szCs w:val="15"/>
              </w:rPr>
              <w:t xml:space="preserve">Learns tax schedules that improve equality-productivity trade-off vs. Saez formula</w:t>
            </w:r>
          </w:p>
        </w:tc>
        <w:tc>
          <w:tcPr>
            <w:tcW w:type="dxa" w:w="1830"/>
            <w:vAlign w:val="center"/>
          </w:tcPr>
          <w:p>
            <w:pPr>
              <w:spacing w:after="0"/>
            </w:pPr>
            <w:r>
              <w:rPr>
                <w:rFonts w:ascii="Times New Roman" w:cs="Times New Roman" w:eastAsia="Times New Roman" w:hAnsi="Times New Roman"/>
                <w:sz w:val="15"/>
                <w:szCs w:val="15"/>
              </w:rPr>
              <w:t xml:space="preserve">Simulation-based; not validated on real taxpayer populations</w:t>
            </w:r>
          </w:p>
        </w:tc>
      </w:tr>
      <w:tr>
        <w:tc>
          <w:tcPr>
            <w:tcW w:type="dxa" w:w="2400"/>
            <w:vAlign w:val="center"/>
          </w:tcPr>
          <w:p>
            <w:pPr>
              <w:spacing w:after="0"/>
            </w:pPr>
            <w:r>
              <w:rPr>
                <w:rFonts w:ascii="Times New Roman" w:cs="Times New Roman" w:eastAsia="Times New Roman" w:hAnsi="Times New Roman"/>
                <w:sz w:val="15"/>
                <w:szCs w:val="15"/>
              </w:rPr>
              <w:t xml:space="preserve">[15] Alsadhan (2023); [17] IEEE (2025)</w:t>
            </w:r>
          </w:p>
        </w:tc>
        <w:tc>
          <w:tcPr>
            <w:tcW w:type="dxa" w:w="1300"/>
            <w:vAlign w:val="center"/>
          </w:tcPr>
          <w:p>
            <w:pPr>
              <w:spacing w:after="0"/>
            </w:pPr>
            <w:r>
              <w:rPr>
                <w:rFonts w:ascii="Times New Roman" w:cs="Times New Roman" w:eastAsia="Times New Roman" w:hAnsi="Times New Roman"/>
                <w:sz w:val="15"/>
                <w:szCs w:val="15"/>
              </w:rPr>
              <w:t xml:space="preserve">Tax fraud detection</w:t>
            </w:r>
          </w:p>
        </w:tc>
        <w:tc>
          <w:tcPr>
            <w:tcW w:type="dxa" w:w="1600"/>
            <w:vAlign w:val="center"/>
          </w:tcPr>
          <w:p>
            <w:pPr>
              <w:spacing w:after="0"/>
            </w:pPr>
            <w:r>
              <w:rPr>
                <w:rFonts w:ascii="Times New Roman" w:cs="Times New Roman" w:eastAsia="Times New Roman" w:hAnsi="Times New Roman"/>
                <w:sz w:val="15"/>
                <w:szCs w:val="15"/>
              </w:rPr>
              <w:t xml:space="preserve">Random Forest, ANN, Logistic Regression, XGBoost</w:t>
            </w:r>
          </w:p>
        </w:tc>
        <w:tc>
          <w:tcPr>
            <w:tcW w:type="dxa" w:w="1550"/>
            <w:vAlign w:val="center"/>
          </w:tcPr>
          <w:p>
            <w:pPr>
              <w:spacing w:after="0"/>
            </w:pPr>
            <w:r>
              <w:rPr>
                <w:rFonts w:ascii="Times New Roman" w:cs="Times New Roman" w:eastAsia="Times New Roman" w:hAnsi="Times New Roman"/>
                <w:sz w:val="15"/>
                <w:szCs w:val="15"/>
              </w:rPr>
              <w:t xml:space="preserve">National/audited tax-return datasets</w:t>
            </w:r>
          </w:p>
        </w:tc>
        <w:tc>
          <w:tcPr>
            <w:tcW w:type="dxa" w:w="2200"/>
            <w:vAlign w:val="center"/>
          </w:tcPr>
          <w:p>
            <w:pPr>
              <w:spacing w:after="0"/>
            </w:pPr>
            <w:r>
              <w:rPr>
                <w:rFonts w:ascii="Times New Roman" w:cs="Times New Roman" w:eastAsia="Times New Roman" w:hAnsi="Times New Roman"/>
                <w:sz w:val="15"/>
                <w:szCs w:val="15"/>
              </w:rPr>
              <w:t xml:space="preserve">ANN/ensemble models most robust for flagging fraud</w:t>
            </w:r>
          </w:p>
        </w:tc>
        <w:tc>
          <w:tcPr>
            <w:tcW w:type="dxa" w:w="1830"/>
            <w:vAlign w:val="center"/>
          </w:tcPr>
          <w:p>
            <w:pPr>
              <w:spacing w:after="0"/>
            </w:pPr>
            <w:r>
              <w:rPr>
                <w:rFonts w:ascii="Times New Roman" w:cs="Times New Roman" w:eastAsia="Times New Roman" w:hAnsi="Times New Roman"/>
                <w:sz w:val="15"/>
                <w:szCs w:val="15"/>
              </w:rPr>
              <w:t xml:space="preserve">Requires large labelled audited data, which is scarce</w:t>
            </w:r>
          </w:p>
        </w:tc>
      </w:tr>
      <w:tr>
        <w:tc>
          <w:tcPr>
            <w:tcW w:type="dxa" w:w="2400"/>
            <w:vAlign w:val="center"/>
          </w:tcPr>
          <w:p>
            <w:pPr>
              <w:spacing w:after="0"/>
            </w:pPr>
            <w:r>
              <w:rPr>
                <w:rFonts w:ascii="Times New Roman" w:cs="Times New Roman" w:eastAsia="Times New Roman" w:hAnsi="Times New Roman"/>
                <w:sz w:val="15"/>
                <w:szCs w:val="15"/>
              </w:rPr>
              <w:t xml:space="preserve">[19] Network+ML VAT Fraud (arXiv, 2021)</w:t>
            </w:r>
          </w:p>
        </w:tc>
        <w:tc>
          <w:tcPr>
            <w:tcW w:type="dxa" w:w="1300"/>
            <w:vAlign w:val="center"/>
          </w:tcPr>
          <w:p>
            <w:pPr>
              <w:spacing w:after="0"/>
            </w:pPr>
            <w:r>
              <w:rPr>
                <w:rFonts w:ascii="Times New Roman" w:cs="Times New Roman" w:eastAsia="Times New Roman" w:hAnsi="Times New Roman"/>
                <w:sz w:val="15"/>
                <w:szCs w:val="15"/>
              </w:rPr>
              <w:t xml:space="preserve">VAT fraud detection</w:t>
            </w:r>
          </w:p>
        </w:tc>
        <w:tc>
          <w:tcPr>
            <w:tcW w:type="dxa" w:w="1600"/>
            <w:vAlign w:val="center"/>
          </w:tcPr>
          <w:p>
            <w:pPr>
              <w:spacing w:after="0"/>
            </w:pPr>
            <w:r>
              <w:rPr>
                <w:rFonts w:ascii="Times New Roman" w:cs="Times New Roman" w:eastAsia="Times New Roman" w:hAnsi="Times New Roman"/>
                <w:sz w:val="15"/>
                <w:szCs w:val="15"/>
              </w:rPr>
              <w:t xml:space="preserve">Network analysis + unsupervised ML</w:t>
            </w:r>
          </w:p>
        </w:tc>
        <w:tc>
          <w:tcPr>
            <w:tcW w:type="dxa" w:w="1550"/>
            <w:vAlign w:val="center"/>
          </w:tcPr>
          <w:p>
            <w:pPr>
              <w:spacing w:after="0"/>
            </w:pPr>
            <w:r>
              <w:rPr>
                <w:rFonts w:ascii="Times New Roman" w:cs="Times New Roman" w:eastAsia="Times New Roman" w:hAnsi="Times New Roman"/>
                <w:sz w:val="15"/>
                <w:szCs w:val="15"/>
              </w:rPr>
              <w:t xml:space="preserve">VAT return network data (Belgium)</w:t>
            </w:r>
          </w:p>
        </w:tc>
        <w:tc>
          <w:tcPr>
            <w:tcW w:type="dxa" w:w="2200"/>
            <w:vAlign w:val="center"/>
          </w:tcPr>
          <w:p>
            <w:pPr>
              <w:spacing w:after="0"/>
            </w:pPr>
            <w:r>
              <w:rPr>
                <w:rFonts w:ascii="Times New Roman" w:cs="Times New Roman" w:eastAsia="Times New Roman" w:hAnsi="Times New Roman"/>
                <w:sz w:val="15"/>
                <w:szCs w:val="15"/>
              </w:rPr>
              <w:t xml:space="preserve">Automated ranking reduces manual audit workload significantly</w:t>
            </w:r>
          </w:p>
        </w:tc>
        <w:tc>
          <w:tcPr>
            <w:tcW w:type="dxa" w:w="1830"/>
            <w:vAlign w:val="center"/>
          </w:tcPr>
          <w:p>
            <w:pPr>
              <w:spacing w:after="0"/>
            </w:pPr>
            <w:r>
              <w:rPr>
                <w:rFonts w:ascii="Times New Roman" w:cs="Times New Roman" w:eastAsia="Times New Roman" w:hAnsi="Times New Roman"/>
                <w:sz w:val="15"/>
                <w:szCs w:val="15"/>
              </w:rPr>
              <w:t xml:space="preserve">Precision depends on quality of network features</w:t>
            </w:r>
          </w:p>
        </w:tc>
      </w:tr>
      <w:tr>
        <w:tc>
          <w:tcPr>
            <w:tcW w:type="dxa" w:w="2400"/>
            <w:vAlign w:val="center"/>
          </w:tcPr>
          <w:p>
            <w:pPr>
              <w:spacing w:after="0"/>
            </w:pPr>
            <w:r>
              <w:rPr>
                <w:rFonts w:ascii="Times New Roman" w:cs="Times New Roman" w:eastAsia="Times New Roman" w:hAnsi="Times New Roman"/>
                <w:sz w:val="15"/>
                <w:szCs w:val="15"/>
              </w:rPr>
              <w:t xml:space="preserve">[21] GSTChain (2021); [27] Aar &amp; Thakur (2026)</w:t>
            </w:r>
          </w:p>
        </w:tc>
        <w:tc>
          <w:tcPr>
            <w:tcW w:type="dxa" w:w="1300"/>
            <w:vAlign w:val="center"/>
          </w:tcPr>
          <w:p>
            <w:pPr>
              <w:spacing w:after="0"/>
            </w:pPr>
            <w:r>
              <w:rPr>
                <w:rFonts w:ascii="Times New Roman" w:cs="Times New Roman" w:eastAsia="Times New Roman" w:hAnsi="Times New Roman"/>
                <w:sz w:val="15"/>
                <w:szCs w:val="15"/>
              </w:rPr>
              <w:t xml:space="preserve">GST invoice integrity</w:t>
            </w:r>
          </w:p>
        </w:tc>
        <w:tc>
          <w:tcPr>
            <w:tcW w:type="dxa" w:w="1600"/>
            <w:vAlign w:val="center"/>
          </w:tcPr>
          <w:p>
            <w:pPr>
              <w:spacing w:after="0"/>
            </w:pPr>
            <w:r>
              <w:rPr>
                <w:rFonts w:ascii="Times New Roman" w:cs="Times New Roman" w:eastAsia="Times New Roman" w:hAnsi="Times New Roman"/>
                <w:sz w:val="15"/>
                <w:szCs w:val="15"/>
              </w:rPr>
              <w:t xml:space="preserve">Permissioned blockchain, smart contracts</w:t>
            </w:r>
          </w:p>
        </w:tc>
        <w:tc>
          <w:tcPr>
            <w:tcW w:type="dxa" w:w="1550"/>
            <w:vAlign w:val="center"/>
          </w:tcPr>
          <w:p>
            <w:pPr>
              <w:spacing w:after="0"/>
            </w:pPr>
            <w:r>
              <w:rPr>
                <w:rFonts w:ascii="Times New Roman" w:cs="Times New Roman" w:eastAsia="Times New Roman" w:hAnsi="Times New Roman"/>
                <w:sz w:val="15"/>
                <w:szCs w:val="15"/>
              </w:rPr>
              <w:t xml:space="preserve">Simulated GST invoice ledger</w:t>
            </w:r>
          </w:p>
        </w:tc>
        <w:tc>
          <w:tcPr>
            <w:tcW w:type="dxa" w:w="2200"/>
            <w:vAlign w:val="center"/>
          </w:tcPr>
          <w:p>
            <w:pPr>
              <w:spacing w:after="0"/>
            </w:pPr>
            <w:r>
              <w:rPr>
                <w:rFonts w:ascii="Times New Roman" w:cs="Times New Roman" w:eastAsia="Times New Roman" w:hAnsi="Times New Roman"/>
                <w:sz w:val="15"/>
                <w:szCs w:val="15"/>
              </w:rPr>
              <w:t xml:space="preserve">Prevents duplicate input-tax-credit claims; improves traceability</w:t>
            </w:r>
          </w:p>
        </w:tc>
        <w:tc>
          <w:tcPr>
            <w:tcW w:type="dxa" w:w="1830"/>
            <w:vAlign w:val="center"/>
          </w:tcPr>
          <w:p>
            <w:pPr>
              <w:spacing w:after="0"/>
            </w:pPr>
            <w:r>
              <w:rPr>
                <w:rFonts w:ascii="Times New Roman" w:cs="Times New Roman" w:eastAsia="Times New Roman" w:hAnsi="Times New Roman"/>
                <w:sz w:val="15"/>
                <w:szCs w:val="15"/>
              </w:rPr>
              <w:t xml:space="preserve">Throughput/scalability trade-offs of blockchain consensus</w:t>
            </w:r>
          </w:p>
        </w:tc>
      </w:tr>
      <w:tr>
        <w:tc>
          <w:tcPr>
            <w:tcW w:type="dxa" w:w="2400"/>
            <w:vAlign w:val="center"/>
          </w:tcPr>
          <w:p>
            <w:pPr>
              <w:spacing w:after="0"/>
            </w:pPr>
            <w:r>
              <w:rPr>
                <w:rFonts w:ascii="Times New Roman" w:cs="Times New Roman" w:eastAsia="Times New Roman" w:hAnsi="Times New Roman"/>
                <w:sz w:val="15"/>
                <w:szCs w:val="15"/>
              </w:rPr>
              <w:t xml:space="preserve">[23] Blockchain VAT Review (DOAJ, 2024)</w:t>
            </w:r>
          </w:p>
        </w:tc>
        <w:tc>
          <w:tcPr>
            <w:tcW w:type="dxa" w:w="1300"/>
            <w:vAlign w:val="center"/>
          </w:tcPr>
          <w:p>
            <w:pPr>
              <w:spacing w:after="0"/>
            </w:pPr>
            <w:r>
              <w:rPr>
                <w:rFonts w:ascii="Times New Roman" w:cs="Times New Roman" w:eastAsia="Times New Roman" w:hAnsi="Times New Roman"/>
                <w:sz w:val="15"/>
                <w:szCs w:val="15"/>
              </w:rPr>
              <w:t xml:space="preserve">Blockchain in VAT systems</w:t>
            </w:r>
          </w:p>
        </w:tc>
        <w:tc>
          <w:tcPr>
            <w:tcW w:type="dxa" w:w="1600"/>
            <w:vAlign w:val="center"/>
          </w:tcPr>
          <w:p>
            <w:pPr>
              <w:spacing w:after="0"/>
            </w:pPr>
            <w:r>
              <w:rPr>
                <w:rFonts w:ascii="Times New Roman" w:cs="Times New Roman" w:eastAsia="Times New Roman" w:hAnsi="Times New Roman"/>
                <w:sz w:val="15"/>
                <w:szCs w:val="15"/>
              </w:rPr>
              <w:t xml:space="preserve">Systematic literature review</w:t>
            </w:r>
          </w:p>
        </w:tc>
        <w:tc>
          <w:tcPr>
            <w:tcW w:type="dxa" w:w="1550"/>
            <w:vAlign w:val="center"/>
          </w:tcPr>
          <w:p>
            <w:pPr>
              <w:spacing w:after="0"/>
            </w:pPr>
            <w:r>
              <w:rPr>
                <w:rFonts w:ascii="Times New Roman" w:cs="Times New Roman" w:eastAsia="Times New Roman" w:hAnsi="Times New Roman"/>
                <w:sz w:val="15"/>
                <w:szCs w:val="15"/>
              </w:rPr>
              <w:t xml:space="preserve">N/A (review)</w:t>
            </w:r>
          </w:p>
        </w:tc>
        <w:tc>
          <w:tcPr>
            <w:tcW w:type="dxa" w:w="2200"/>
            <w:vAlign w:val="center"/>
          </w:tcPr>
          <w:p>
            <w:pPr>
              <w:spacing w:after="0"/>
            </w:pPr>
            <w:r>
              <w:rPr>
                <w:rFonts w:ascii="Times New Roman" w:cs="Times New Roman" w:eastAsia="Times New Roman" w:hAnsi="Times New Roman"/>
                <w:sz w:val="15"/>
                <w:szCs w:val="15"/>
              </w:rPr>
              <w:t xml:space="preserve">Permissioned private blockchain best fits VAT/tax use cases</w:t>
            </w:r>
          </w:p>
        </w:tc>
        <w:tc>
          <w:tcPr>
            <w:tcW w:type="dxa" w:w="1830"/>
            <w:vAlign w:val="center"/>
          </w:tcPr>
          <w:p>
            <w:pPr>
              <w:spacing w:after="0"/>
            </w:pPr>
            <w:r>
              <w:rPr>
                <w:rFonts w:ascii="Times New Roman" w:cs="Times New Roman" w:eastAsia="Times New Roman" w:hAnsi="Times New Roman"/>
                <w:sz w:val="15"/>
                <w:szCs w:val="15"/>
              </w:rPr>
              <w:t xml:space="preserve">Limited real-world large-scale deployments reviewed</w:t>
            </w:r>
          </w:p>
        </w:tc>
      </w:tr>
      <w:tr>
        <w:tc>
          <w:tcPr>
            <w:tcW w:type="dxa" w:w="2400"/>
            <w:vAlign w:val="center"/>
          </w:tcPr>
          <w:p>
            <w:pPr>
              <w:spacing w:after="0"/>
            </w:pPr>
            <w:r>
              <w:rPr>
                <w:rFonts w:ascii="Times New Roman" w:cs="Times New Roman" w:eastAsia="Times New Roman" w:hAnsi="Times New Roman"/>
                <w:sz w:val="15"/>
                <w:szCs w:val="15"/>
              </w:rPr>
              <w:t xml:space="preserve">[1] Pavithra (2025)</w:t>
            </w:r>
          </w:p>
        </w:tc>
        <w:tc>
          <w:tcPr>
            <w:tcW w:type="dxa" w:w="1300"/>
            <w:vAlign w:val="center"/>
          </w:tcPr>
          <w:p>
            <w:pPr>
              <w:spacing w:after="0"/>
            </w:pPr>
            <w:r>
              <w:rPr>
                <w:rFonts w:ascii="Times New Roman" w:cs="Times New Roman" w:eastAsia="Times New Roman" w:hAnsi="Times New Roman"/>
                <w:sz w:val="15"/>
                <w:szCs w:val="15"/>
              </w:rPr>
              <w:t xml:space="preserve">Predictive personal budgeting</w:t>
            </w:r>
          </w:p>
        </w:tc>
        <w:tc>
          <w:tcPr>
            <w:tcW w:type="dxa" w:w="1600"/>
            <w:vAlign w:val="center"/>
          </w:tcPr>
          <w:p>
            <w:pPr>
              <w:spacing w:after="0"/>
            </w:pPr>
            <w:r>
              <w:rPr>
                <w:rFonts w:ascii="Times New Roman" w:cs="Times New Roman" w:eastAsia="Times New Roman" w:hAnsi="Times New Roman"/>
                <w:sz w:val="15"/>
                <w:szCs w:val="15"/>
              </w:rPr>
              <w:t xml:space="preserve">CNN anomaly detection, deep/reinforcement learning</w:t>
            </w:r>
          </w:p>
        </w:tc>
        <w:tc>
          <w:tcPr>
            <w:tcW w:type="dxa" w:w="1550"/>
            <w:vAlign w:val="center"/>
          </w:tcPr>
          <w:p>
            <w:pPr>
              <w:spacing w:after="0"/>
            </w:pPr>
            <w:r>
              <w:rPr>
                <w:rFonts w:ascii="Times New Roman" w:cs="Times New Roman" w:eastAsia="Times New Roman" w:hAnsi="Times New Roman"/>
                <w:sz w:val="15"/>
                <w:szCs w:val="15"/>
              </w:rPr>
              <w:t xml:space="preserve">Transaction history data</w:t>
            </w:r>
          </w:p>
        </w:tc>
        <w:tc>
          <w:tcPr>
            <w:tcW w:type="dxa" w:w="2200"/>
            <w:vAlign w:val="center"/>
          </w:tcPr>
          <w:p>
            <w:pPr>
              <w:spacing w:after="0"/>
            </w:pPr>
            <w:r>
              <w:rPr>
                <w:rFonts w:ascii="Times New Roman" w:cs="Times New Roman" w:eastAsia="Times New Roman" w:hAnsi="Times New Roman"/>
                <w:sz w:val="15"/>
                <w:szCs w:val="15"/>
              </w:rPr>
              <w:t xml:space="preserve">Detects spending anomalies; improves budgeting accuracy</w:t>
            </w:r>
          </w:p>
        </w:tc>
        <w:tc>
          <w:tcPr>
            <w:tcW w:type="dxa" w:w="1830"/>
            <w:vAlign w:val="center"/>
          </w:tcPr>
          <w:p>
            <w:pPr>
              <w:spacing w:after="0"/>
            </w:pPr>
            <w:r>
              <w:rPr>
                <w:rFonts w:ascii="Times New Roman" w:cs="Times New Roman" w:eastAsia="Times New Roman" w:hAnsi="Times New Roman"/>
                <w:sz w:val="15"/>
                <w:szCs w:val="15"/>
              </w:rPr>
              <w:t xml:space="preserve">Model needs retraining as spending patterns evolve</w:t>
            </w:r>
          </w:p>
        </w:tc>
      </w:tr>
      <w:tr>
        <w:tc>
          <w:tcPr>
            <w:tcW w:type="dxa" w:w="2400"/>
            <w:vAlign w:val="center"/>
          </w:tcPr>
          <w:p>
            <w:pPr>
              <w:spacing w:after="0"/>
            </w:pPr>
            <w:r>
              <w:rPr>
                <w:rFonts w:ascii="Times New Roman" w:cs="Times New Roman" w:eastAsia="Times New Roman" w:hAnsi="Times New Roman"/>
                <w:sz w:val="15"/>
                <w:szCs w:val="15"/>
              </w:rPr>
              <w:t xml:space="preserve">[2] AI-Driven Pers. Finance (ResearchGate, 2025)</w:t>
            </w:r>
          </w:p>
        </w:tc>
        <w:tc>
          <w:tcPr>
            <w:tcW w:type="dxa" w:w="1300"/>
            <w:vAlign w:val="center"/>
          </w:tcPr>
          <w:p>
            <w:pPr>
              <w:spacing w:after="0"/>
            </w:pPr>
            <w:r>
              <w:rPr>
                <w:rFonts w:ascii="Times New Roman" w:cs="Times New Roman" w:eastAsia="Times New Roman" w:hAnsi="Times New Roman"/>
                <w:sz w:val="15"/>
                <w:szCs w:val="15"/>
              </w:rPr>
              <w:t xml:space="preserve">AI-driven personal finance</w:t>
            </w:r>
          </w:p>
        </w:tc>
        <w:tc>
          <w:tcPr>
            <w:tcW w:type="dxa" w:w="1600"/>
            <w:vAlign w:val="center"/>
          </w:tcPr>
          <w:p>
            <w:pPr>
              <w:spacing w:after="0"/>
            </w:pPr>
            <w:r>
              <w:rPr>
                <w:rFonts w:ascii="Times New Roman" w:cs="Times New Roman" w:eastAsia="Times New Roman" w:hAnsi="Times New Roman"/>
                <w:sz w:val="15"/>
                <w:szCs w:val="15"/>
              </w:rPr>
              <w:t xml:space="preserve">Flask, scikit-learn, regression + rules</w:t>
            </w:r>
          </w:p>
        </w:tc>
        <w:tc>
          <w:tcPr>
            <w:tcW w:type="dxa" w:w="1550"/>
            <w:vAlign w:val="center"/>
          </w:tcPr>
          <w:p>
            <w:pPr>
              <w:spacing w:after="0"/>
            </w:pPr>
            <w:r>
              <w:rPr>
                <w:rFonts w:ascii="Times New Roman" w:cs="Times New Roman" w:eastAsia="Times New Roman" w:hAnsi="Times New Roman"/>
                <w:sz w:val="15"/>
                <w:szCs w:val="15"/>
              </w:rPr>
              <w:t xml:space="preserve">User income/expense records</w:t>
            </w:r>
          </w:p>
        </w:tc>
        <w:tc>
          <w:tcPr>
            <w:tcW w:type="dxa" w:w="2200"/>
            <w:vAlign w:val="center"/>
          </w:tcPr>
          <w:p>
            <w:pPr>
              <w:spacing w:after="0"/>
            </w:pPr>
            <w:r>
              <w:rPr>
                <w:rFonts w:ascii="Times New Roman" w:cs="Times New Roman" w:eastAsia="Times New Roman" w:hAnsi="Times New Roman"/>
                <w:sz w:val="15"/>
                <w:szCs w:val="15"/>
              </w:rPr>
              <w:t xml:space="preserve">Recommends SIP/FD/RD/mutual-fund allocations</w:t>
            </w:r>
          </w:p>
        </w:tc>
        <w:tc>
          <w:tcPr>
            <w:tcW w:type="dxa" w:w="1830"/>
            <w:vAlign w:val="center"/>
          </w:tcPr>
          <w:p>
            <w:pPr>
              <w:spacing w:after="0"/>
            </w:pPr>
            <w:r>
              <w:rPr>
                <w:rFonts w:ascii="Times New Roman" w:cs="Times New Roman" w:eastAsia="Times New Roman" w:hAnsi="Times New Roman"/>
                <w:sz w:val="15"/>
                <w:szCs w:val="15"/>
              </w:rPr>
              <w:t xml:space="preserve">Limited personalization depth; basic ML models</w:t>
            </w:r>
          </w:p>
        </w:tc>
      </w:tr>
      <w:tr>
        <w:tc>
          <w:tcPr>
            <w:tcW w:type="dxa" w:w="2400"/>
            <w:vAlign w:val="center"/>
          </w:tcPr>
          <w:p>
            <w:pPr>
              <w:spacing w:after="0"/>
            </w:pPr>
            <w:r>
              <w:rPr>
                <w:rFonts w:ascii="Times New Roman" w:cs="Times New Roman" w:eastAsia="Times New Roman" w:hAnsi="Times New Roman"/>
                <w:sz w:val="15"/>
                <w:szCs w:val="15"/>
              </w:rPr>
              <w:t xml:space="preserve">[3] ML Models Predictive Analytics (Springer, 2022)</w:t>
            </w:r>
          </w:p>
        </w:tc>
        <w:tc>
          <w:tcPr>
            <w:tcW w:type="dxa" w:w="1300"/>
            <w:vAlign w:val="center"/>
          </w:tcPr>
          <w:p>
            <w:pPr>
              <w:spacing w:after="0"/>
            </w:pPr>
            <w:r>
              <w:rPr>
                <w:rFonts w:ascii="Times New Roman" w:cs="Times New Roman" w:eastAsia="Times New Roman" w:hAnsi="Times New Roman"/>
                <w:sz w:val="15"/>
                <w:szCs w:val="15"/>
              </w:rPr>
              <w:t xml:space="preserve">Predictive analytics in finance</w:t>
            </w:r>
          </w:p>
        </w:tc>
        <w:tc>
          <w:tcPr>
            <w:tcW w:type="dxa" w:w="1600"/>
            <w:vAlign w:val="center"/>
          </w:tcPr>
          <w:p>
            <w:pPr>
              <w:spacing w:after="0"/>
            </w:pPr>
            <w:r>
              <w:rPr>
                <w:rFonts w:ascii="Times New Roman" w:cs="Times New Roman" w:eastAsia="Times New Roman" w:hAnsi="Times New Roman"/>
                <w:sz w:val="15"/>
                <w:szCs w:val="15"/>
              </w:rPr>
              <w:t xml:space="preserve">Linear regression, RNN, logistic regression</w:t>
            </w:r>
          </w:p>
        </w:tc>
        <w:tc>
          <w:tcPr>
            <w:tcW w:type="dxa" w:w="1550"/>
            <w:vAlign w:val="center"/>
          </w:tcPr>
          <w:p>
            <w:pPr>
              <w:spacing w:after="0"/>
            </w:pPr>
            <w:r>
              <w:rPr>
                <w:rFonts w:ascii="Times New Roman" w:cs="Times New Roman" w:eastAsia="Times New Roman" w:hAnsi="Times New Roman"/>
                <w:sz w:val="15"/>
                <w:szCs w:val="15"/>
              </w:rPr>
              <w:t xml:space="preserve">Individual + market/economic data</w:t>
            </w:r>
          </w:p>
        </w:tc>
        <w:tc>
          <w:tcPr>
            <w:tcW w:type="dxa" w:w="2200"/>
            <w:vAlign w:val="center"/>
          </w:tcPr>
          <w:p>
            <w:pPr>
              <w:spacing w:after="0"/>
            </w:pPr>
            <w:r>
              <w:rPr>
                <w:rFonts w:ascii="Times New Roman" w:cs="Times New Roman" w:eastAsia="Times New Roman" w:hAnsi="Times New Roman"/>
                <w:sz w:val="15"/>
                <w:szCs w:val="15"/>
              </w:rPr>
              <w:t xml:space="preserve">83–87% accuracy across expenditure, stock, retirement models</w:t>
            </w:r>
          </w:p>
        </w:tc>
        <w:tc>
          <w:tcPr>
            <w:tcW w:type="dxa" w:w="1830"/>
            <w:vAlign w:val="center"/>
          </w:tcPr>
          <w:p>
            <w:pPr>
              <w:spacing w:after="0"/>
            </w:pPr>
            <w:r>
              <w:rPr>
                <w:rFonts w:ascii="Times New Roman" w:cs="Times New Roman" w:eastAsia="Times New Roman" w:hAnsi="Times New Roman"/>
                <w:sz w:val="15"/>
                <w:szCs w:val="15"/>
              </w:rPr>
              <w:t xml:space="preserve">Accuracy varies notably by task/model</w:t>
            </w:r>
          </w:p>
        </w:tc>
      </w:tr>
      <w:tr>
        <w:tc>
          <w:tcPr>
            <w:tcW w:type="dxa" w:w="2400"/>
            <w:vAlign w:val="center"/>
          </w:tcPr>
          <w:p>
            <w:pPr>
              <w:spacing w:after="0"/>
            </w:pPr>
            <w:r>
              <w:rPr>
                <w:rFonts w:ascii="Times New Roman" w:cs="Times New Roman" w:eastAsia="Times New Roman" w:hAnsi="Times New Roman"/>
                <w:sz w:val="15"/>
                <w:szCs w:val="15"/>
              </w:rPr>
              <w:t xml:space="preserve">[28] Martins &amp; Ashofteh (2023); [30] Robo-Advisors SLR (2024)</w:t>
            </w:r>
          </w:p>
        </w:tc>
        <w:tc>
          <w:tcPr>
            <w:tcW w:type="dxa" w:w="1300"/>
            <w:vAlign w:val="center"/>
          </w:tcPr>
          <w:p>
            <w:pPr>
              <w:spacing w:after="0"/>
            </w:pPr>
            <w:r>
              <w:rPr>
                <w:rFonts w:ascii="Times New Roman" w:cs="Times New Roman" w:eastAsia="Times New Roman" w:hAnsi="Times New Roman"/>
                <w:sz w:val="15"/>
                <w:szCs w:val="15"/>
              </w:rPr>
              <w:t xml:space="preserve">Robo-advisory landscape</w:t>
            </w:r>
          </w:p>
        </w:tc>
        <w:tc>
          <w:tcPr>
            <w:tcW w:type="dxa" w:w="1600"/>
            <w:vAlign w:val="center"/>
          </w:tcPr>
          <w:p>
            <w:pPr>
              <w:spacing w:after="0"/>
            </w:pPr>
            <w:r>
              <w:rPr>
                <w:rFonts w:ascii="Times New Roman" w:cs="Times New Roman" w:eastAsia="Times New Roman" w:hAnsi="Times New Roman"/>
                <w:sz w:val="15"/>
                <w:szCs w:val="15"/>
              </w:rPr>
              <w:t xml:space="preserve">Systematic/PRISMA literature review</w:t>
            </w:r>
          </w:p>
        </w:tc>
        <w:tc>
          <w:tcPr>
            <w:tcW w:type="dxa" w:w="1550"/>
            <w:vAlign w:val="center"/>
          </w:tcPr>
          <w:p>
            <w:pPr>
              <w:spacing w:after="0"/>
            </w:pPr>
            <w:r>
              <w:rPr>
                <w:rFonts w:ascii="Times New Roman" w:cs="Times New Roman" w:eastAsia="Times New Roman" w:hAnsi="Times New Roman"/>
                <w:sz w:val="15"/>
                <w:szCs w:val="15"/>
              </w:rPr>
              <w:t xml:space="preserve">Scopus/Web of Science corpora</w:t>
            </w:r>
          </w:p>
        </w:tc>
        <w:tc>
          <w:tcPr>
            <w:tcW w:type="dxa" w:w="2200"/>
            <w:vAlign w:val="center"/>
          </w:tcPr>
          <w:p>
            <w:pPr>
              <w:spacing w:after="0"/>
            </w:pPr>
            <w:r>
              <w:rPr>
                <w:rFonts w:ascii="Times New Roman" w:cs="Times New Roman" w:eastAsia="Times New Roman" w:hAnsi="Times New Roman"/>
                <w:sz w:val="15"/>
                <w:szCs w:val="15"/>
              </w:rPr>
              <w:t xml:space="preserve">Identifies 4 major research streams; rapid post-2020 growth</w:t>
            </w:r>
          </w:p>
        </w:tc>
        <w:tc>
          <w:tcPr>
            <w:tcW w:type="dxa" w:w="1830"/>
            <w:vAlign w:val="center"/>
          </w:tcPr>
          <w:p>
            <w:pPr>
              <w:spacing w:after="0"/>
            </w:pPr>
            <w:r>
              <w:rPr>
                <w:rFonts w:ascii="Times New Roman" w:cs="Times New Roman" w:eastAsia="Times New Roman" w:hAnsi="Times New Roman"/>
                <w:sz w:val="15"/>
                <w:szCs w:val="15"/>
              </w:rPr>
              <w:t xml:space="preserve">Adoption barriers and trust concerns remain understudied</w:t>
            </w:r>
          </w:p>
        </w:tc>
      </w:tr>
      <w:tr>
        <w:tc>
          <w:tcPr>
            <w:tcW w:type="dxa" w:w="2400"/>
            <w:vAlign w:val="center"/>
          </w:tcPr>
          <w:p>
            <w:pPr>
              <w:spacing w:after="0"/>
            </w:pPr>
            <w:r>
              <w:rPr>
                <w:rFonts w:ascii="Times New Roman" w:cs="Times New Roman" w:eastAsia="Times New Roman" w:hAnsi="Times New Roman"/>
                <w:sz w:val="15"/>
                <w:szCs w:val="15"/>
              </w:rPr>
              <w:t xml:space="preserve">[32] Robo-Advisor Adoption (ResearchGate, 2024)</w:t>
            </w:r>
          </w:p>
        </w:tc>
        <w:tc>
          <w:tcPr>
            <w:tcW w:type="dxa" w:w="1300"/>
            <w:vAlign w:val="center"/>
          </w:tcPr>
          <w:p>
            <w:pPr>
              <w:spacing w:after="0"/>
            </w:pPr>
            <w:r>
              <w:rPr>
                <w:rFonts w:ascii="Times New Roman" w:cs="Times New Roman" w:eastAsia="Times New Roman" w:hAnsi="Times New Roman"/>
                <w:sz w:val="15"/>
                <w:szCs w:val="15"/>
              </w:rPr>
              <w:t xml:space="preserve">Robo-advisor adoption prediction</w:t>
            </w:r>
          </w:p>
        </w:tc>
        <w:tc>
          <w:tcPr>
            <w:tcW w:type="dxa" w:w="1600"/>
            <w:vAlign w:val="center"/>
          </w:tcPr>
          <w:p>
            <w:pPr>
              <w:spacing w:after="0"/>
            </w:pPr>
            <w:r>
              <w:rPr>
                <w:rFonts w:ascii="Times New Roman" w:cs="Times New Roman" w:eastAsia="Times New Roman" w:hAnsi="Times New Roman"/>
                <w:sz w:val="15"/>
                <w:szCs w:val="15"/>
              </w:rPr>
              <w:t xml:space="preserve">Logistic regression, decision tree, random forest</w:t>
            </w:r>
          </w:p>
        </w:tc>
        <w:tc>
          <w:tcPr>
            <w:tcW w:type="dxa" w:w="1550"/>
            <w:vAlign w:val="center"/>
          </w:tcPr>
          <w:p>
            <w:pPr>
              <w:spacing w:after="0"/>
            </w:pPr>
            <w:r>
              <w:rPr>
                <w:rFonts w:ascii="Times New Roman" w:cs="Times New Roman" w:eastAsia="Times New Roman" w:hAnsi="Times New Roman"/>
                <w:sz w:val="15"/>
                <w:szCs w:val="15"/>
              </w:rPr>
              <w:t xml:space="preserve">National Financial Capability Study (NFCS)</w:t>
            </w:r>
          </w:p>
        </w:tc>
        <w:tc>
          <w:tcPr>
            <w:tcW w:type="dxa" w:w="2200"/>
            <w:vAlign w:val="center"/>
          </w:tcPr>
          <w:p>
            <w:pPr>
              <w:spacing w:after="0"/>
            </w:pPr>
            <w:r>
              <w:rPr>
                <w:rFonts w:ascii="Times New Roman" w:cs="Times New Roman" w:eastAsia="Times New Roman" w:hAnsi="Times New Roman"/>
                <w:sz w:val="15"/>
                <w:szCs w:val="15"/>
              </w:rPr>
              <w:t xml:space="preserve">Logistic regression yields best prediction accuracy</w:t>
            </w:r>
          </w:p>
        </w:tc>
        <w:tc>
          <w:tcPr>
            <w:tcW w:type="dxa" w:w="1830"/>
            <w:vAlign w:val="center"/>
          </w:tcPr>
          <w:p>
            <w:pPr>
              <w:spacing w:after="0"/>
            </w:pPr>
            <w:r>
              <w:rPr>
                <w:rFonts w:ascii="Times New Roman" w:cs="Times New Roman" w:eastAsia="Times New Roman" w:hAnsi="Times New Roman"/>
                <w:sz w:val="15"/>
                <w:szCs w:val="15"/>
              </w:rPr>
              <w:t xml:space="preserve">Survey-based; behavioral factors not fully captured</w:t>
            </w:r>
          </w:p>
        </w:tc>
      </w:tr>
      <w:tr>
        <w:tc>
          <w:tcPr>
            <w:tcW w:type="dxa" w:w="2400"/>
            <w:vAlign w:val="center"/>
          </w:tcPr>
          <w:p>
            <w:pPr>
              <w:spacing w:after="0"/>
            </w:pPr>
            <w:r>
              <w:rPr>
                <w:rFonts w:ascii="Times New Roman" w:cs="Times New Roman" w:eastAsia="Times New Roman" w:hAnsi="Times New Roman"/>
                <w:sz w:val="15"/>
                <w:szCs w:val="15"/>
              </w:rPr>
              <w:t xml:space="preserve">[33],[37] NLP in Fintech (ResearchGate, 2025)</w:t>
            </w:r>
          </w:p>
        </w:tc>
        <w:tc>
          <w:tcPr>
            <w:tcW w:type="dxa" w:w="1300"/>
            <w:vAlign w:val="center"/>
          </w:tcPr>
          <w:p>
            <w:pPr>
              <w:spacing w:after="0"/>
            </w:pPr>
            <w:r>
              <w:rPr>
                <w:rFonts w:ascii="Times New Roman" w:cs="Times New Roman" w:eastAsia="Times New Roman" w:hAnsi="Times New Roman"/>
                <w:sz w:val="15"/>
                <w:szCs w:val="15"/>
              </w:rPr>
              <w:t xml:space="preserve">NLP in fintech customer service</w:t>
            </w:r>
          </w:p>
        </w:tc>
        <w:tc>
          <w:tcPr>
            <w:tcW w:type="dxa" w:w="1600"/>
            <w:vAlign w:val="center"/>
          </w:tcPr>
          <w:p>
            <w:pPr>
              <w:spacing w:after="0"/>
            </w:pPr>
            <w:r>
              <w:rPr>
                <w:rFonts w:ascii="Times New Roman" w:cs="Times New Roman" w:eastAsia="Times New Roman" w:hAnsi="Times New Roman"/>
                <w:sz w:val="15"/>
                <w:szCs w:val="15"/>
              </w:rPr>
              <w:t xml:space="preserve">NLP, sentiment analysis, deep learning</w:t>
            </w:r>
          </w:p>
        </w:tc>
        <w:tc>
          <w:tcPr>
            <w:tcW w:type="dxa" w:w="1550"/>
            <w:vAlign w:val="center"/>
          </w:tcPr>
          <w:p>
            <w:pPr>
              <w:spacing w:after="0"/>
            </w:pPr>
            <w:r>
              <w:rPr>
                <w:rFonts w:ascii="Times New Roman" w:cs="Times New Roman" w:eastAsia="Times New Roman" w:hAnsi="Times New Roman"/>
                <w:sz w:val="15"/>
                <w:szCs w:val="15"/>
              </w:rPr>
              <w:t xml:space="preserve">Case studies (banks/fintech firms)</w:t>
            </w:r>
          </w:p>
        </w:tc>
        <w:tc>
          <w:tcPr>
            <w:tcW w:type="dxa" w:w="2200"/>
            <w:vAlign w:val="center"/>
          </w:tcPr>
          <w:p>
            <w:pPr>
              <w:spacing w:after="0"/>
            </w:pPr>
            <w:r>
              <w:rPr>
                <w:rFonts w:ascii="Times New Roman" w:cs="Times New Roman" w:eastAsia="Times New Roman" w:hAnsi="Times New Roman"/>
                <w:sz w:val="15"/>
                <w:szCs w:val="15"/>
              </w:rPr>
              <w:t xml:space="preserve">Improves response accuracy and 24/7 personalized support</w:t>
            </w:r>
          </w:p>
        </w:tc>
        <w:tc>
          <w:tcPr>
            <w:tcW w:type="dxa" w:w="1830"/>
            <w:vAlign w:val="center"/>
          </w:tcPr>
          <w:p>
            <w:pPr>
              <w:spacing w:after="0"/>
            </w:pPr>
            <w:r>
              <w:rPr>
                <w:rFonts w:ascii="Times New Roman" w:cs="Times New Roman" w:eastAsia="Times New Roman" w:hAnsi="Times New Roman"/>
                <w:sz w:val="15"/>
                <w:szCs w:val="15"/>
              </w:rPr>
              <w:t xml:space="preserve">Privacy, bias, and complex-query handling remain challenges</w:t>
            </w:r>
          </w:p>
        </w:tc>
      </w:tr>
      <w:tr>
        <w:tc>
          <w:tcPr>
            <w:tcW w:type="dxa" w:w="2400"/>
            <w:vAlign w:val="center"/>
          </w:tcPr>
          <w:p>
            <w:pPr>
              <w:spacing w:after="0"/>
            </w:pPr>
            <w:r>
              <w:rPr>
                <w:rFonts w:ascii="Times New Roman" w:cs="Times New Roman" w:eastAsia="Times New Roman" w:hAnsi="Times New Roman"/>
                <w:sz w:val="15"/>
                <w:szCs w:val="15"/>
              </w:rPr>
              <w:t xml:space="preserve">[36] FinAID (2020); [38] Capit-AI (2025)</w:t>
            </w:r>
          </w:p>
        </w:tc>
        <w:tc>
          <w:tcPr>
            <w:tcW w:type="dxa" w:w="1300"/>
            <w:vAlign w:val="center"/>
          </w:tcPr>
          <w:p>
            <w:pPr>
              <w:spacing w:after="0"/>
            </w:pPr>
            <w:r>
              <w:rPr>
                <w:rFonts w:ascii="Times New Roman" w:cs="Times New Roman" w:eastAsia="Times New Roman" w:hAnsi="Times New Roman"/>
                <w:sz w:val="15"/>
                <w:szCs w:val="15"/>
              </w:rPr>
              <w:t xml:space="preserve">AI financial advisor chatbots</w:t>
            </w:r>
          </w:p>
        </w:tc>
        <w:tc>
          <w:tcPr>
            <w:tcW w:type="dxa" w:w="1600"/>
            <w:vAlign w:val="center"/>
          </w:tcPr>
          <w:p>
            <w:pPr>
              <w:spacing w:after="0"/>
            </w:pPr>
            <w:r>
              <w:rPr>
                <w:rFonts w:ascii="Times New Roman" w:cs="Times New Roman" w:eastAsia="Times New Roman" w:hAnsi="Times New Roman"/>
                <w:sz w:val="15"/>
                <w:szCs w:val="15"/>
              </w:rPr>
              <w:t xml:space="preserve">NLP + ML recommendation engine</w:t>
            </w:r>
          </w:p>
        </w:tc>
        <w:tc>
          <w:tcPr>
            <w:tcW w:type="dxa" w:w="1550"/>
            <w:vAlign w:val="center"/>
          </w:tcPr>
          <w:p>
            <w:pPr>
              <w:spacing w:after="0"/>
            </w:pPr>
            <w:r>
              <w:rPr>
                <w:rFonts w:ascii="Times New Roman" w:cs="Times New Roman" w:eastAsia="Times New Roman" w:hAnsi="Times New Roman"/>
                <w:sz w:val="15"/>
                <w:szCs w:val="15"/>
              </w:rPr>
              <w:t xml:space="preserve">User financial profiles</w:t>
            </w:r>
          </w:p>
        </w:tc>
        <w:tc>
          <w:tcPr>
            <w:tcW w:type="dxa" w:w="2200"/>
            <w:vAlign w:val="center"/>
          </w:tcPr>
          <w:p>
            <w:pPr>
              <w:spacing w:after="0"/>
            </w:pPr>
            <w:r>
              <w:rPr>
                <w:rFonts w:ascii="Times New Roman" w:cs="Times New Roman" w:eastAsia="Times New Roman" w:hAnsi="Times New Roman"/>
                <w:sz w:val="15"/>
                <w:szCs w:val="15"/>
              </w:rPr>
              <w:t xml:space="preserve">Delivers conversational, goal-based financial advice</w:t>
            </w:r>
          </w:p>
        </w:tc>
        <w:tc>
          <w:tcPr>
            <w:tcW w:type="dxa" w:w="1830"/>
            <w:vAlign w:val="center"/>
          </w:tcPr>
          <w:p>
            <w:pPr>
              <w:spacing w:after="0"/>
            </w:pPr>
            <w:r>
              <w:rPr>
                <w:rFonts w:ascii="Times New Roman" w:cs="Times New Roman" w:eastAsia="Times New Roman" w:hAnsi="Times New Roman"/>
                <w:sz w:val="15"/>
                <w:szCs w:val="15"/>
              </w:rPr>
              <w:t xml:space="preserve">Ethical/security safeguards needed for trust</w:t>
            </w:r>
          </w:p>
        </w:tc>
      </w:tr>
      <w:tr>
        <w:tc>
          <w:tcPr>
            <w:tcW w:type="dxa" w:w="2400"/>
            <w:vAlign w:val="center"/>
          </w:tcPr>
          <w:p>
            <w:pPr>
              <w:spacing w:after="0"/>
            </w:pPr>
            <w:r>
              <w:rPr>
                <w:rFonts w:ascii="Times New Roman" w:cs="Times New Roman" w:eastAsia="Times New Roman" w:hAnsi="Times New Roman"/>
                <w:sz w:val="15"/>
                <w:szCs w:val="15"/>
              </w:rPr>
              <w:t xml:space="preserve">[44] Budget Tracker Case Study (2024); [45] Moneyge It (2025)</w:t>
            </w:r>
          </w:p>
        </w:tc>
        <w:tc>
          <w:tcPr>
            <w:tcW w:type="dxa" w:w="1300"/>
            <w:vAlign w:val="center"/>
          </w:tcPr>
          <w:p>
            <w:pPr>
              <w:spacing w:after="0"/>
            </w:pPr>
            <w:r>
              <w:rPr>
                <w:rFonts w:ascii="Times New Roman" w:cs="Times New Roman" w:eastAsia="Times New Roman" w:hAnsi="Times New Roman"/>
                <w:sz w:val="15"/>
                <w:szCs w:val="15"/>
              </w:rPr>
              <w:t xml:space="preserve">Expense/budget tracker apps</w:t>
            </w:r>
          </w:p>
        </w:tc>
        <w:tc>
          <w:tcPr>
            <w:tcW w:type="dxa" w:w="1600"/>
            <w:vAlign w:val="center"/>
          </w:tcPr>
          <w:p>
            <w:pPr>
              <w:spacing w:after="0"/>
            </w:pPr>
            <w:r>
              <w:rPr>
                <w:rFonts w:ascii="Times New Roman" w:cs="Times New Roman" w:eastAsia="Times New Roman" w:hAnsi="Times New Roman"/>
                <w:sz w:val="15"/>
                <w:szCs w:val="15"/>
              </w:rPr>
              <w:t xml:space="preserve">Mobile app (Android/Flutter), SDLC process</w:t>
            </w:r>
          </w:p>
        </w:tc>
        <w:tc>
          <w:tcPr>
            <w:tcW w:type="dxa" w:w="1550"/>
            <w:vAlign w:val="center"/>
          </w:tcPr>
          <w:p>
            <w:pPr>
              <w:spacing w:after="0"/>
            </w:pPr>
            <w:r>
              <w:rPr>
                <w:rFonts w:ascii="Times New Roman" w:cs="Times New Roman" w:eastAsia="Times New Roman" w:hAnsi="Times New Roman"/>
                <w:sz w:val="15"/>
                <w:szCs w:val="15"/>
              </w:rPr>
              <w:t xml:space="preserve">User-entered transaction data</w:t>
            </w:r>
          </w:p>
        </w:tc>
        <w:tc>
          <w:tcPr>
            <w:tcW w:type="dxa" w:w="2200"/>
            <w:vAlign w:val="center"/>
          </w:tcPr>
          <w:p>
            <w:pPr>
              <w:spacing w:after="0"/>
            </w:pPr>
            <w:r>
              <w:rPr>
                <w:rFonts w:ascii="Times New Roman" w:cs="Times New Roman" w:eastAsia="Times New Roman" w:hAnsi="Times New Roman"/>
                <w:sz w:val="15"/>
                <w:szCs w:val="15"/>
              </w:rPr>
              <w:t xml:space="preserve">Improves user awareness of spending; supports shared expenses</w:t>
            </w:r>
          </w:p>
        </w:tc>
        <w:tc>
          <w:tcPr>
            <w:tcW w:type="dxa" w:w="1830"/>
            <w:vAlign w:val="center"/>
          </w:tcPr>
          <w:p>
            <w:pPr>
              <w:spacing w:after="0"/>
            </w:pPr>
            <w:r>
              <w:rPr>
                <w:rFonts w:ascii="Times New Roman" w:cs="Times New Roman" w:eastAsia="Times New Roman" w:hAnsi="Times New Roman"/>
                <w:sz w:val="15"/>
                <w:szCs w:val="15"/>
              </w:rPr>
              <w:t xml:space="preserve">Manual entry dependence; limited automation</w:t>
            </w:r>
          </w:p>
        </w:tc>
      </w:tr>
      <w:tr>
        <w:tc>
          <w:tcPr>
            <w:tcW w:type="dxa" w:w="2400"/>
            <w:vAlign w:val="center"/>
          </w:tcPr>
          <w:p>
            <w:pPr>
              <w:spacing w:after="0"/>
            </w:pPr>
            <w:r>
              <w:rPr>
                <w:rFonts w:ascii="Times New Roman" w:cs="Times New Roman" w:eastAsia="Times New Roman" w:hAnsi="Times New Roman"/>
                <w:sz w:val="15"/>
                <w:szCs w:val="15"/>
              </w:rPr>
              <w:t xml:space="preserve">[47] ML-Based Loan Approval (Wiley, 2026)</w:t>
            </w:r>
          </w:p>
        </w:tc>
        <w:tc>
          <w:tcPr>
            <w:tcW w:type="dxa" w:w="1300"/>
            <w:vAlign w:val="center"/>
          </w:tcPr>
          <w:p>
            <w:pPr>
              <w:spacing w:after="0"/>
            </w:pPr>
            <w:r>
              <w:rPr>
                <w:rFonts w:ascii="Times New Roman" w:cs="Times New Roman" w:eastAsia="Times New Roman" w:hAnsi="Times New Roman"/>
                <w:sz w:val="15"/>
                <w:szCs w:val="15"/>
              </w:rPr>
              <w:t xml:space="preserve">Automated loan approval</w:t>
            </w:r>
          </w:p>
        </w:tc>
        <w:tc>
          <w:tcPr>
            <w:tcW w:type="dxa" w:w="1600"/>
            <w:vAlign w:val="center"/>
          </w:tcPr>
          <w:p>
            <w:pPr>
              <w:spacing w:after="0"/>
            </w:pPr>
            <w:r>
              <w:rPr>
                <w:rFonts w:ascii="Times New Roman" w:cs="Times New Roman" w:eastAsia="Times New Roman" w:hAnsi="Times New Roman"/>
                <w:sz w:val="15"/>
                <w:szCs w:val="15"/>
              </w:rPr>
              <w:t xml:space="preserve">Random Forest, XGBoost, stacking/voting + SMOTE</w:t>
            </w:r>
          </w:p>
        </w:tc>
        <w:tc>
          <w:tcPr>
            <w:tcW w:type="dxa" w:w="1550"/>
            <w:vAlign w:val="center"/>
          </w:tcPr>
          <w:p>
            <w:pPr>
              <w:spacing w:after="0"/>
            </w:pPr>
            <w:r>
              <w:rPr>
                <w:rFonts w:ascii="Times New Roman" w:cs="Times New Roman" w:eastAsia="Times New Roman" w:hAnsi="Times New Roman"/>
                <w:sz w:val="15"/>
                <w:szCs w:val="15"/>
              </w:rPr>
              <w:t xml:space="preserve">Public loan dataset (614 records)</w:t>
            </w:r>
          </w:p>
        </w:tc>
        <w:tc>
          <w:tcPr>
            <w:tcW w:type="dxa" w:w="2200"/>
            <w:vAlign w:val="center"/>
          </w:tcPr>
          <w:p>
            <w:pPr>
              <w:spacing w:after="0"/>
            </w:pPr>
            <w:r>
              <w:rPr>
                <w:rFonts w:ascii="Times New Roman" w:cs="Times New Roman" w:eastAsia="Times New Roman" w:hAnsi="Times New Roman"/>
                <w:sz w:val="15"/>
                <w:szCs w:val="15"/>
              </w:rPr>
              <w:t xml:space="preserve">F1-score 87.17%, recall 95.32% after tuning</w:t>
            </w:r>
          </w:p>
        </w:tc>
        <w:tc>
          <w:tcPr>
            <w:tcW w:type="dxa" w:w="1830"/>
            <w:vAlign w:val="center"/>
          </w:tcPr>
          <w:p>
            <w:pPr>
              <w:spacing w:after="0"/>
            </w:pPr>
            <w:r>
              <w:rPr>
                <w:rFonts w:ascii="Times New Roman" w:cs="Times New Roman" w:eastAsia="Times New Roman" w:hAnsi="Times New Roman"/>
                <w:sz w:val="15"/>
                <w:szCs w:val="15"/>
              </w:rPr>
              <w:t xml:space="preserve">Small dataset; fairness/explainability need further study</w:t>
            </w:r>
          </w:p>
        </w:tc>
      </w:tr>
      <w:tr>
        <w:tc>
          <w:tcPr>
            <w:tcW w:type="dxa" w:w="2400"/>
            <w:vAlign w:val="center"/>
          </w:tcPr>
          <w:p>
            <w:pPr>
              <w:spacing w:after="0"/>
            </w:pPr>
            <w:r>
              <w:rPr>
                <w:rFonts w:ascii="Times New Roman" w:cs="Times New Roman" w:eastAsia="Times New Roman" w:hAnsi="Times New Roman"/>
                <w:sz w:val="15"/>
                <w:szCs w:val="15"/>
              </w:rPr>
              <w:t xml:space="preserve">[49] Ruiz-Carhuamaca et al. (2024)</w:t>
            </w:r>
          </w:p>
        </w:tc>
        <w:tc>
          <w:tcPr>
            <w:tcW w:type="dxa" w:w="1300"/>
            <w:vAlign w:val="center"/>
          </w:tcPr>
          <w:p>
            <w:pPr>
              <w:spacing w:after="0"/>
            </w:pPr>
            <w:r>
              <w:rPr>
                <w:rFonts w:ascii="Times New Roman" w:cs="Times New Roman" w:eastAsia="Times New Roman" w:hAnsi="Times New Roman"/>
                <w:sz w:val="15"/>
                <w:szCs w:val="15"/>
              </w:rPr>
              <w:t xml:space="preserve">Gamified financial literacy</w:t>
            </w:r>
          </w:p>
        </w:tc>
        <w:tc>
          <w:tcPr>
            <w:tcW w:type="dxa" w:w="1600"/>
            <w:vAlign w:val="center"/>
          </w:tcPr>
          <w:p>
            <w:pPr>
              <w:spacing w:after="0"/>
            </w:pPr>
            <w:r>
              <w:rPr>
                <w:rFonts w:ascii="Times New Roman" w:cs="Times New Roman" w:eastAsia="Times New Roman" w:hAnsi="Times New Roman"/>
                <w:sz w:val="15"/>
                <w:szCs w:val="15"/>
              </w:rPr>
              <w:t xml:space="preserve">Gamification, mobile learning app</w:t>
            </w:r>
          </w:p>
        </w:tc>
        <w:tc>
          <w:tcPr>
            <w:tcW w:type="dxa" w:w="1550"/>
            <w:vAlign w:val="center"/>
          </w:tcPr>
          <w:p>
            <w:pPr>
              <w:spacing w:after="0"/>
            </w:pPr>
            <w:r>
              <w:rPr>
                <w:rFonts w:ascii="Times New Roman" w:cs="Times New Roman" w:eastAsia="Times New Roman" w:hAnsi="Times New Roman"/>
                <w:sz w:val="15"/>
                <w:szCs w:val="15"/>
              </w:rPr>
              <w:t xml:space="preserve">University-student survey (Peru)</w:t>
            </w:r>
          </w:p>
        </w:tc>
        <w:tc>
          <w:tcPr>
            <w:tcW w:type="dxa" w:w="2200"/>
            <w:vAlign w:val="center"/>
          </w:tcPr>
          <w:p>
            <w:pPr>
              <w:spacing w:after="0"/>
            </w:pPr>
            <w:r>
              <w:rPr>
                <w:rFonts w:ascii="Times New Roman" w:cs="Times New Roman" w:eastAsia="Times New Roman" w:hAnsi="Times New Roman"/>
                <w:sz w:val="15"/>
                <w:szCs w:val="15"/>
              </w:rPr>
              <w:t xml:space="preserve">Measurable improvement in financial-literacy indicators</w:t>
            </w:r>
          </w:p>
        </w:tc>
        <w:tc>
          <w:tcPr>
            <w:tcW w:type="dxa" w:w="1830"/>
            <w:vAlign w:val="center"/>
          </w:tcPr>
          <w:p>
            <w:pPr>
              <w:spacing w:after="0"/>
            </w:pPr>
            <w:r>
              <w:rPr>
                <w:rFonts w:ascii="Times New Roman" w:cs="Times New Roman" w:eastAsia="Times New Roman" w:hAnsi="Times New Roman"/>
                <w:sz w:val="15"/>
                <w:szCs w:val="15"/>
              </w:rPr>
              <w:t xml:space="preserve">Limited to young/university demographic tested</w:t>
            </w:r>
          </w:p>
        </w:tc>
      </w:tr>
      <w:tr>
        <w:tc>
          <w:tcPr>
            <w:tcW w:type="dxa" w:w="2400"/>
            <w:vAlign w:val="center"/>
          </w:tcPr>
          <w:p>
            <w:pPr>
              <w:spacing w:after="0"/>
            </w:pPr>
            <w:r>
              <w:rPr>
                <w:rFonts w:ascii="Times New Roman" w:cs="Times New Roman" w:eastAsia="Times New Roman" w:hAnsi="Times New Roman"/>
                <w:sz w:val="15"/>
                <w:szCs w:val="15"/>
              </w:rPr>
              <w:t xml:space="preserve">[50] Nagraj (2024)</w:t>
            </w:r>
          </w:p>
        </w:tc>
        <w:tc>
          <w:tcPr>
            <w:tcW w:type="dxa" w:w="1300"/>
            <w:vAlign w:val="center"/>
          </w:tcPr>
          <w:p>
            <w:pPr>
              <w:spacing w:after="0"/>
            </w:pPr>
            <w:r>
              <w:rPr>
                <w:rFonts w:ascii="Times New Roman" w:cs="Times New Roman" w:eastAsia="Times New Roman" w:hAnsi="Times New Roman"/>
                <w:sz w:val="15"/>
                <w:szCs w:val="15"/>
              </w:rPr>
              <w:t xml:space="preserve">Cloud/microservices fintech backend</w:t>
            </w:r>
          </w:p>
        </w:tc>
        <w:tc>
          <w:tcPr>
            <w:tcW w:type="dxa" w:w="1600"/>
            <w:vAlign w:val="center"/>
          </w:tcPr>
          <w:p>
            <w:pPr>
              <w:spacing w:after="0"/>
            </w:pPr>
            <w:r>
              <w:rPr>
                <w:rFonts w:ascii="Times New Roman" w:cs="Times New Roman" w:eastAsia="Times New Roman" w:hAnsi="Times New Roman"/>
                <w:sz w:val="15"/>
                <w:szCs w:val="15"/>
              </w:rPr>
              <w:t xml:space="preserve">AWS IaaS/PaaS, OAuth2/JWT, zero-trust</w:t>
            </w:r>
          </w:p>
        </w:tc>
        <w:tc>
          <w:tcPr>
            <w:tcW w:type="dxa" w:w="1550"/>
            <w:vAlign w:val="center"/>
          </w:tcPr>
          <w:p>
            <w:pPr>
              <w:spacing w:after="0"/>
            </w:pPr>
            <w:r>
              <w:rPr>
                <w:rFonts w:ascii="Times New Roman" w:cs="Times New Roman" w:eastAsia="Times New Roman" w:hAnsi="Times New Roman"/>
                <w:sz w:val="15"/>
                <w:szCs w:val="15"/>
              </w:rPr>
              <w:t xml:space="preserve">Architectural case study</w:t>
            </w:r>
          </w:p>
        </w:tc>
        <w:tc>
          <w:tcPr>
            <w:tcW w:type="dxa" w:w="2200"/>
            <w:vAlign w:val="center"/>
          </w:tcPr>
          <w:p>
            <w:pPr>
              <w:spacing w:after="0"/>
            </w:pPr>
            <w:r>
              <w:rPr>
                <w:rFonts w:ascii="Times New Roman" w:cs="Times New Roman" w:eastAsia="Times New Roman" w:hAnsi="Times New Roman"/>
                <w:sz w:val="15"/>
                <w:szCs w:val="15"/>
              </w:rPr>
              <w:t xml:space="preserve">Scalable, secure infrastructure for fraud detection &amp; compliance</w:t>
            </w:r>
          </w:p>
        </w:tc>
        <w:tc>
          <w:tcPr>
            <w:tcW w:type="dxa" w:w="1830"/>
            <w:vAlign w:val="center"/>
          </w:tcPr>
          <w:p>
            <w:pPr>
              <w:spacing w:after="0"/>
            </w:pPr>
            <w:r>
              <w:rPr>
                <w:rFonts w:ascii="Times New Roman" w:cs="Times New Roman" w:eastAsia="Times New Roman" w:hAnsi="Times New Roman"/>
                <w:sz w:val="15"/>
                <w:szCs w:val="15"/>
              </w:rPr>
              <w:t xml:space="preserve">Operational complexity of managing many microservices</w:t>
            </w:r>
          </w:p>
        </w:tc>
      </w:tr>
    </w:tbl>
    <w:p>
      <w:pPr>
        <w:sectPr>
          <w:type w:val="continuous"/>
          <w:pgSz w:w="11906" w:h="16838" w:orient="portrait"/>
          <w:pgMar w:top="1440" w:right="1080" w:bottom="1440" w:left="1080" w:header="708" w:footer="708" w:gutter="0"/>
          <w:pgNumType/>
          <w:cols w:num="1"/>
          <w:docGrid w:linePitch="360"/>
        </w:sectPr>
      </w:pPr>
    </w:p>
    <w:p>
      <w:pPr>
        <w:spacing w:after="120" w:before="200"/>
        <w:jc w:val="center"/>
      </w:pPr>
      <w:r>
        <w:rPr>
          <w:rFonts w:ascii="Times New Roman" w:cs="Times New Roman" w:eastAsia="Times New Roman" w:hAnsi="Times New Roman"/>
          <w:b/>
          <w:bCs/>
          <w:smallCaps/>
          <w:sz w:val="20"/>
          <w:szCs w:val="20"/>
        </w:rPr>
        <w:t xml:space="preserve">V. Limitations of Existing Approaches</w:t>
      </w:r>
    </w:p>
    <w:p>
      <w:pPr>
        <w:spacing w:after="120" w:line="240"/>
        <w:ind w:firstLine="288"/>
        <w:jc w:val="both"/>
      </w:pPr>
      <w:r>
        <w:rPr>
          <w:rFonts w:ascii="Times New Roman" w:cs="Times New Roman" w:eastAsia="Times New Roman" w:hAnsi="Times New Roman"/>
          <w:sz w:val="20"/>
          <w:szCs w:val="20"/>
        </w:rPr>
        <w:t xml:space="preserve">Across the reviewed literature, several recurring limitations emerge. First, most tax-calculation and financial-planning tools remain single-purpose: tax calculators do not offer investment guidance, and robo-advisors and budgeting apps rarely account for tax liability at all, forcing users to reconcile outputs from multiple disconnected applications. Second, fraud-detection and blockchain-based tax systems are largely designed for tax authorities and auditors rather than for individual taxpayers, so their transparency and trust benefits are not directly experienced by end users. Third, many machine-learning-based personal-finance systems are evaluated on small, geographically narrow, or synthetic datasets, which raises concerns about generalizability. Fourth, conversational-AI financial assistants frequently lack deep integration with authoritative, up-to-date tax rules, risking outdated or jurisdiction-mismatched advice. Finally, explainability, data privacy, and regulatory compliance are consistently flagged as open concerns rather than solved problems across the surveyed works [5], [37], [47], [48].</w:t>
      </w:r>
    </w:p>
    <w:p>
      <w:pPr>
        <w:spacing w:after="120" w:before="200"/>
        <w:jc w:val="center"/>
      </w:pPr>
      <w:r>
        <w:rPr>
          <w:rFonts w:ascii="Times New Roman" w:cs="Times New Roman" w:eastAsia="Times New Roman" w:hAnsi="Times New Roman"/>
          <w:b/>
          <w:bCs/>
          <w:smallCaps/>
          <w:sz w:val="20"/>
          <w:szCs w:val="20"/>
        </w:rPr>
        <w:t xml:space="preserve">VI. Research Gaps</w:t>
      </w:r>
    </w:p>
    <w:p>
      <w:pPr>
        <w:spacing w:after="120" w:line="240"/>
        <w:ind w:firstLine="288"/>
        <w:jc w:val="both"/>
      </w:pPr>
      <w:r>
        <w:rPr>
          <w:rFonts w:ascii="Times New Roman" w:cs="Times New Roman" w:eastAsia="Times New Roman" w:hAnsi="Times New Roman"/>
          <w:sz w:val="20"/>
          <w:szCs w:val="20"/>
        </w:rPr>
        <w:t xml:space="preserve">Based on the above analysis, the following research gaps are identified:</w:t>
      </w:r>
    </w:p>
    <w:p>
      <w:pPr>
        <w:spacing w:after="80"/>
        <w:ind w:left="215" w:hanging="215"/>
        <w:jc w:val="both"/>
      </w:pPr>
      <w:r>
        <w:rPr>
          <w:rFonts w:ascii="Times New Roman" w:cs="Times New Roman" w:eastAsia="Times New Roman" w:hAnsi="Times New Roman"/>
          <w:sz w:val="20"/>
          <w:szCs w:val="20"/>
        </w:rPr>
        <w:t xml:space="preserve">•  Lack of a single, integrated platform that combines rule-based tax computation, AI-driven financial planning, fraud/anomaly screening, and conversational advisory within one system.</w:t>
      </w:r>
    </w:p>
    <w:p>
      <w:pPr>
        <w:spacing w:after="80"/>
        <w:ind w:left="215" w:hanging="215"/>
        <w:jc w:val="both"/>
      </w:pPr>
      <w:r>
        <w:rPr>
          <w:rFonts w:ascii="Times New Roman" w:cs="Times New Roman" w:eastAsia="Times New Roman" w:hAnsi="Times New Roman"/>
          <w:sz w:val="20"/>
          <w:szCs w:val="20"/>
        </w:rPr>
        <w:t xml:space="preserve">•  Limited real-time synchronization with evolving tax slabs, deductions, and regulatory rules in existing AI tax-assistant prototypes.</w:t>
      </w:r>
    </w:p>
    <w:p>
      <w:pPr>
        <w:spacing w:after="80"/>
        <w:ind w:left="215" w:hanging="215"/>
        <w:jc w:val="both"/>
      </w:pPr>
      <w:r>
        <w:rPr>
          <w:rFonts w:ascii="Times New Roman" w:cs="Times New Roman" w:eastAsia="Times New Roman" w:hAnsi="Times New Roman"/>
          <w:sz w:val="20"/>
          <w:szCs w:val="20"/>
        </w:rPr>
        <w:t xml:space="preserve">•  Insufficient explainability in ML-based fraud-detection and credit-scoring modules, which reduces user and regulator trust.</w:t>
      </w:r>
    </w:p>
    <w:p>
      <w:pPr>
        <w:spacing w:after="80"/>
        <w:ind w:left="215" w:hanging="215"/>
        <w:jc w:val="both"/>
      </w:pPr>
      <w:r>
        <w:rPr>
          <w:rFonts w:ascii="Times New Roman" w:cs="Times New Roman" w:eastAsia="Times New Roman" w:hAnsi="Times New Roman"/>
          <w:sz w:val="20"/>
          <w:szCs w:val="20"/>
        </w:rPr>
        <w:t xml:space="preserve">•  Sparse evaluation of personal-finance ML models on diverse, large-scale, real-world (rather than synthetic or small-sample) datasets.</w:t>
      </w:r>
    </w:p>
    <w:p>
      <w:pPr>
        <w:spacing w:after="80"/>
        <w:ind w:left="215" w:hanging="215"/>
        <w:jc w:val="both"/>
      </w:pPr>
      <w:r>
        <w:rPr>
          <w:rFonts w:ascii="Times New Roman" w:cs="Times New Roman" w:eastAsia="Times New Roman" w:hAnsi="Times New Roman"/>
          <w:sz w:val="20"/>
          <w:szCs w:val="20"/>
        </w:rPr>
        <w:t xml:space="preserve">•  Underexplored integration of gamified financial-literacy modules with practical tax-and-investment planning tools.</w:t>
      </w:r>
    </w:p>
    <w:p>
      <w:pPr>
        <w:spacing w:after="80"/>
        <w:ind w:left="215" w:hanging="215"/>
        <w:jc w:val="both"/>
      </w:pPr>
      <w:r>
        <w:rPr>
          <w:rFonts w:ascii="Times New Roman" w:cs="Times New Roman" w:eastAsia="Times New Roman" w:hAnsi="Times New Roman"/>
          <w:sz w:val="20"/>
          <w:szCs w:val="20"/>
        </w:rPr>
        <w:t xml:space="preserve">•  Limited attention to data-privacy-preserving architectures (e.g., federated learning, zero-trust microservices) specifically for combined tax-and-finance platforms.</w:t>
      </w:r>
    </w:p>
    <w:p>
      <w:pPr>
        <w:spacing w:after="120" w:before="200"/>
        <w:jc w:val="center"/>
      </w:pPr>
      <w:r>
        <w:rPr>
          <w:rFonts w:ascii="Times New Roman" w:cs="Times New Roman" w:eastAsia="Times New Roman" w:hAnsi="Times New Roman"/>
          <w:b/>
          <w:bCs/>
          <w:smallCaps/>
          <w:sz w:val="20"/>
          <w:szCs w:val="20"/>
        </w:rPr>
        <w:t xml:space="preserve">VII. Proposed Directions for Future Work</w:t>
      </w:r>
    </w:p>
    <w:p>
      <w:pPr>
        <w:spacing w:after="120" w:line="240"/>
        <w:ind w:firstLine="288"/>
        <w:jc w:val="both"/>
      </w:pPr>
      <w:r>
        <w:rPr>
          <w:rFonts w:ascii="Times New Roman" w:cs="Times New Roman" w:eastAsia="Times New Roman" w:hAnsi="Times New Roman"/>
          <w:sz w:val="20"/>
          <w:szCs w:val="20"/>
        </w:rPr>
        <w:t xml:space="preserve">Building on the identified gaps, a Smart Tax Calculation and Financial Planning Management System should combine (i) a rule-based tax-computation engine that is kept current with regulatory updates, in the spirit of the AI-assisted ITR-suggestion approach [9]; (ii) an ML-based personal-finance module for expense prediction, budgeting, and investment recommendation, drawing on predictive-budgeting and robo-advisory techniques [1], [2], [28]; (iii) an anomaly/fraud-screening layer adapted from tax- and credit-fraud-detection research to flag suspicious transactions or filing errors [15], [19], [47]; (iv) a conversational NLP assistant to guide users through filing and planning decisions in natural language [36], [38]; (v) an optional blockchain-backed audit trail for invoice or transaction integrity, following GST-blockchain designs [21], [27]; and (vi) a gamified literacy layer to improve user financial understanding over time [49]. Architecturally, a cloud-native microservices design with strong access control is recommended so that each module can be developed, scaled, and secured independently [50]. Future empirical work should validate such an integrated system on real, large-scale, and demographically diverse user data, and should report explainability and fairness metrics alongside accuracy.</w:t>
      </w:r>
    </w:p>
    <w:p>
      <w:pPr>
        <w:spacing w:after="120" w:before="200"/>
        <w:jc w:val="center"/>
      </w:pPr>
      <w:r>
        <w:rPr>
          <w:rFonts w:ascii="Times New Roman" w:cs="Times New Roman" w:eastAsia="Times New Roman" w:hAnsi="Times New Roman"/>
          <w:b/>
          <w:bCs/>
          <w:smallCaps/>
          <w:sz w:val="20"/>
          <w:szCs w:val="20"/>
        </w:rPr>
        <w:t xml:space="preserve">VIII. Conclusion</w:t>
      </w:r>
    </w:p>
    <w:p>
      <w:pPr>
        <w:spacing w:after="120" w:line="240"/>
        <w:ind w:firstLine="288"/>
        <w:jc w:val="both"/>
      </w:pPr>
      <w:r>
        <w:rPr>
          <w:rFonts w:ascii="Times New Roman" w:cs="Times New Roman" w:eastAsia="Times New Roman" w:hAnsi="Times New Roman"/>
          <w:sz w:val="20"/>
          <w:szCs w:val="20"/>
        </w:rPr>
        <w:t xml:space="preserve">This paper surveyed fifty research papers relevant to the design of a Smart Tax Calculation and Financial Planning Management System, covering AI-assisted tax computation, tax-policy simulation, tax/VAT fraud detection, blockchain-based GST systems, machine-learning-driven personal finance, robo-advisory platforms, conversational financial assistants, expense-tracking applications, credit scoring, financial-literacy gamification, and cloud-native fintech architectures. While substantial progress has been made in each individual sub-area, the literature reveals a clear gap: no reviewed system integrates accurate, up-to-date tax computation with personalized, explainable financial planning and fraud-aware, privacy-preserving architecture in a single platform. Addressing this gap, as outlined in Section VII, represents a concrete and well-motivated direction for the proposed system.</w:t>
      </w:r>
    </w:p>
    <w:p>
      <w:pPr>
        <w:spacing w:after="80" w:before="200"/>
      </w:pPr>
      <w:r>
        <w:rPr>
          <w:rFonts w:ascii="Times New Roman" w:cs="Times New Roman" w:eastAsia="Times New Roman" w:hAnsi="Times New Roman"/>
          <w:b/>
          <w:bCs/>
          <w:i/>
          <w:iCs/>
          <w:sz w:val="20"/>
          <w:szCs w:val="20"/>
        </w:rPr>
        <w:t xml:space="preserve">Acknowledgment</w:t>
      </w:r>
    </w:p>
    <w:p>
      <w:pPr>
        <w:spacing w:after="120" w:line="240"/>
        <w:ind w:firstLine="288"/>
        <w:jc w:val="both"/>
      </w:pPr>
      <w:r>
        <w:rPr>
          <w:rFonts w:ascii="Times New Roman" w:cs="Times New Roman" w:eastAsia="Times New Roman" w:hAnsi="Times New Roman"/>
          <w:sz w:val="20"/>
          <w:szCs w:val="20"/>
        </w:rPr>
        <w:t xml:space="preserve">The author thanks the Department of Computer Science and Engineering, SIMATS Engineering, for guidance during the preparation of this literature survey as part of the CO5 Assessment Tool 1 (Research Paper Review / Literature Survey) requirement.</w:t>
      </w:r>
    </w:p>
    <w:p>
      <w:pPr>
        <w:sectPr>
          <w:type w:val="continuous"/>
          <w:pgSz w:w="11906" w:h="16838" w:orient="portrait"/>
          <w:pgMar w:top="1440" w:right="1080" w:bottom="1440" w:left="1080" w:header="708" w:footer="708" w:gutter="0"/>
          <w:pgNumType/>
          <w:cols w:space="360" w:num="2"/>
          <w:docGrid w:linePitch="360"/>
        </w:sectPr>
      </w:pPr>
    </w:p>
    <w:p>
      <w:pPr>
        <w:spacing w:after="120" w:before="200"/>
        <w:jc w:val="center"/>
      </w:pPr>
      <w:r>
        <w:rPr>
          <w:rFonts w:ascii="Times New Roman" w:cs="Times New Roman" w:eastAsia="Times New Roman" w:hAnsi="Times New Roman"/>
          <w:b/>
          <w:bCs/>
          <w:smallCaps/>
          <w:sz w:val="20"/>
          <w:szCs w:val="20"/>
        </w:rPr>
        <w:t xml:space="preserve">References</w:t>
      </w:r>
    </w:p>
    <w:p>
      <w:pPr>
        <w:spacing w:after="80" w:line="220"/>
        <w:ind w:left="316" w:hanging="316"/>
        <w:jc w:val="both"/>
      </w:pPr>
      <w:r>
        <w:rPr>
          <w:rFonts w:ascii="Times New Roman" w:cs="Times New Roman" w:eastAsia="Times New Roman" w:hAnsi="Times New Roman"/>
          <w:sz w:val="18"/>
          <w:szCs w:val="18"/>
        </w:rPr>
        <w:t xml:space="preserve">[1]	D. Pavithra, “Leveraging Machine Learning for Predictive Budgeting and Anomaly Detection in Personal Finance,” ResearchGate preprint, 2025.</w:t>
      </w:r>
    </w:p>
    <w:p>
      <w:pPr>
        <w:spacing w:after="80" w:line="220"/>
        <w:ind w:left="316" w:hanging="316"/>
        <w:jc w:val="both"/>
      </w:pPr>
      <w:r>
        <w:rPr>
          <w:rFonts w:ascii="Times New Roman" w:cs="Times New Roman" w:eastAsia="Times New Roman" w:hAnsi="Times New Roman"/>
          <w:sz w:val="18"/>
          <w:szCs w:val="18"/>
        </w:rPr>
        <w:t xml:space="preserve">[2]	“AI-Driven Personal Finance Management System Using Machine Learning and Flask,” ResearchGate preprint, 2025.</w:t>
      </w:r>
    </w:p>
    <w:p>
      <w:pPr>
        <w:spacing w:after="80" w:line="220"/>
        <w:ind w:left="316" w:hanging="316"/>
        <w:jc w:val="both"/>
      </w:pPr>
      <w:r>
        <w:rPr>
          <w:rFonts w:ascii="Times New Roman" w:cs="Times New Roman" w:eastAsia="Times New Roman" w:hAnsi="Times New Roman"/>
          <w:sz w:val="18"/>
          <w:szCs w:val="18"/>
        </w:rPr>
        <w:t xml:space="preserve">[3]	“Machine Learning Models for Predictive Analytics in Personal Finance,” in Proc. Int. Conf., Springer Nature, 2022.</w:t>
      </w:r>
    </w:p>
    <w:p>
      <w:pPr>
        <w:spacing w:after="80" w:line="220"/>
        <w:ind w:left="316" w:hanging="316"/>
        <w:jc w:val="both"/>
      </w:pPr>
      <w:r>
        <w:rPr>
          <w:rFonts w:ascii="Times New Roman" w:cs="Times New Roman" w:eastAsia="Times New Roman" w:hAnsi="Times New Roman"/>
          <w:sz w:val="18"/>
          <w:szCs w:val="18"/>
        </w:rPr>
        <w:t xml:space="preserve">[4]	“Personal Finance Management and Prediction using ML Algorithms,” in Proc. IEEE Conf., IEEE Xplore, 2024.</w:t>
      </w:r>
    </w:p>
    <w:p>
      <w:pPr>
        <w:spacing w:after="80" w:line="220"/>
        <w:ind w:left="316" w:hanging="316"/>
        <w:jc w:val="both"/>
      </w:pPr>
      <w:r>
        <w:rPr>
          <w:rFonts w:ascii="Times New Roman" w:cs="Times New Roman" w:eastAsia="Times New Roman" w:hAnsi="Times New Roman"/>
          <w:sz w:val="18"/>
          <w:szCs w:val="18"/>
        </w:rPr>
        <w:t xml:space="preserve">[5]	“Unlocking Financial Literacy with Machine Learning: A Critical Step to Advance Personal Finance Research and Practice,” ScienceDirect, 2024.</w:t>
      </w:r>
    </w:p>
    <w:p>
      <w:pPr>
        <w:spacing w:after="80" w:line="220"/>
        <w:ind w:left="316" w:hanging="316"/>
        <w:jc w:val="both"/>
      </w:pPr>
      <w:r>
        <w:rPr>
          <w:rFonts w:ascii="Times New Roman" w:cs="Times New Roman" w:eastAsia="Times New Roman" w:hAnsi="Times New Roman"/>
          <w:sz w:val="18"/>
          <w:szCs w:val="18"/>
        </w:rPr>
        <w:t xml:space="preserve">[6]	“AI-Driven Personal Finance Management: Revolutionizing Budgeting and Financial Planning (MyFinanceAI),” ResearchGate preprint, 2024.</w:t>
      </w:r>
    </w:p>
    <w:p>
      <w:pPr>
        <w:spacing w:after="80" w:line="220"/>
        <w:ind w:left="316" w:hanging="316"/>
        <w:jc w:val="both"/>
      </w:pPr>
      <w:r>
        <w:rPr>
          <w:rFonts w:ascii="Times New Roman" w:cs="Times New Roman" w:eastAsia="Times New Roman" w:hAnsi="Times New Roman"/>
          <w:sz w:val="18"/>
          <w:szCs w:val="18"/>
        </w:rPr>
        <w:t xml:space="preserve">[7]	V. K. Tambi, “Personal Finance Management Solutions with AI-Enabled Insights,” The Research Journal (TRJ), 2024.</w:t>
      </w:r>
    </w:p>
    <w:p>
      <w:pPr>
        <w:spacing w:after="80" w:line="220"/>
        <w:ind w:left="316" w:hanging="316"/>
        <w:jc w:val="both"/>
      </w:pPr>
      <w:r>
        <w:rPr>
          <w:rFonts w:ascii="Times New Roman" w:cs="Times New Roman" w:eastAsia="Times New Roman" w:hAnsi="Times New Roman"/>
          <w:sz w:val="18"/>
          <w:szCs w:val="18"/>
        </w:rPr>
        <w:t xml:space="preserve">[8]	“Development of a Simulator to Determine Personal Financial Strategies Using Machine Learning,” in Proc. ICSF, ResearchGate, 2024.</w:t>
      </w:r>
    </w:p>
    <w:p>
      <w:pPr>
        <w:spacing w:after="80" w:line="220"/>
        <w:ind w:left="316" w:hanging="316"/>
        <w:jc w:val="both"/>
      </w:pPr>
      <w:r>
        <w:rPr>
          <w:rFonts w:ascii="Times New Roman" w:cs="Times New Roman" w:eastAsia="Times New Roman" w:hAnsi="Times New Roman"/>
          <w:sz w:val="18"/>
          <w:szCs w:val="18"/>
        </w:rPr>
        <w:t xml:space="preserve">[9]	“AI-Powered Tax Calculation and ITR Suggestion System,” ResearchGate preprint, 2026.</w:t>
      </w:r>
    </w:p>
    <w:p>
      <w:pPr>
        <w:spacing w:after="80" w:line="220"/>
        <w:ind w:left="316" w:hanging="316"/>
        <w:jc w:val="both"/>
      </w:pPr>
      <w:r>
        <w:rPr>
          <w:rFonts w:ascii="Times New Roman" w:cs="Times New Roman" w:eastAsia="Times New Roman" w:hAnsi="Times New Roman"/>
          <w:sz w:val="18"/>
          <w:szCs w:val="18"/>
        </w:rPr>
        <w:t xml:space="preserve">[10]	“Financial Studio: Android Based Application for Computing Tax, Pension, Zakat and Loan,” arXiv:1612.04692, 2016.</w:t>
      </w:r>
    </w:p>
    <w:p>
      <w:pPr>
        <w:spacing w:after="80" w:line="220"/>
        <w:ind w:left="316" w:hanging="316"/>
        <w:jc w:val="both"/>
      </w:pPr>
      <w:r>
        <w:rPr>
          <w:rFonts w:ascii="Times New Roman" w:cs="Times New Roman" w:eastAsia="Times New Roman" w:hAnsi="Times New Roman"/>
          <w:sz w:val="18"/>
          <w:szCs w:val="18"/>
        </w:rPr>
        <w:t xml:space="preserve">[11]	“Income Tax Evasion Dynamics: Evidence from an Agent-Based Econophysics Model,” arXiv:1112.0233, 2011.</w:t>
      </w:r>
    </w:p>
    <w:p>
      <w:pPr>
        <w:spacing w:after="80" w:line="220"/>
        <w:ind w:left="316" w:hanging="316"/>
        <w:jc w:val="both"/>
      </w:pPr>
      <w:r>
        <w:rPr>
          <w:rFonts w:ascii="Times New Roman" w:cs="Times New Roman" w:eastAsia="Times New Roman" w:hAnsi="Times New Roman"/>
          <w:sz w:val="18"/>
          <w:szCs w:val="18"/>
        </w:rPr>
        <w:t xml:space="preserve">[12]	S. Zheng, A. Trott, S. Srinivasa, N. Naik, M. Gruesbeck, D. C. Parkes, and R. Socher, “The AI Economist: Improving Equality and Productivity with AI-Driven Tax Policies,” arXiv:2004.13332, 2020.</w:t>
      </w:r>
    </w:p>
    <w:p>
      <w:pPr>
        <w:spacing w:after="80" w:line="220"/>
        <w:ind w:left="316" w:hanging="316"/>
        <w:jc w:val="both"/>
      </w:pPr>
      <w:r>
        <w:rPr>
          <w:rFonts w:ascii="Times New Roman" w:cs="Times New Roman" w:eastAsia="Times New Roman" w:hAnsi="Times New Roman"/>
          <w:sz w:val="18"/>
          <w:szCs w:val="18"/>
        </w:rPr>
        <w:t xml:space="preserve">[13]	S. Zheng, A. Trott, S. Srinivasa, D. C. Parkes, and R. Socher, “The AI Economist: Taxation Policy Design via Two-Level Deep Multiagent Reinforcement Learning,” arXiv:2108.02755, 2021.</w:t>
      </w:r>
    </w:p>
    <w:p>
      <w:pPr>
        <w:spacing w:after="80" w:line="220"/>
        <w:ind w:left="316" w:hanging="316"/>
        <w:jc w:val="both"/>
      </w:pPr>
      <w:r>
        <w:rPr>
          <w:rFonts w:ascii="Times New Roman" w:cs="Times New Roman" w:eastAsia="Times New Roman" w:hAnsi="Times New Roman"/>
          <w:sz w:val="18"/>
          <w:szCs w:val="18"/>
        </w:rPr>
        <w:t xml:space="preserve">[14]	Y. Lin, D. Han, M. Xu, Q. Sun, W. Chen, and Y. Wu, “TaxThemis: Interactive Visual Analytics for Identifying Tax Evasion Groups,” arXiv:2009.03179, 2020.</w:t>
      </w:r>
    </w:p>
    <w:p>
      <w:pPr>
        <w:spacing w:after="80" w:line="220"/>
        <w:ind w:left="316" w:hanging="316"/>
        <w:jc w:val="both"/>
      </w:pPr>
      <w:r>
        <w:rPr>
          <w:rFonts w:ascii="Times New Roman" w:cs="Times New Roman" w:eastAsia="Times New Roman" w:hAnsi="Times New Roman"/>
          <w:sz w:val="18"/>
          <w:szCs w:val="18"/>
        </w:rPr>
        <w:t xml:space="preserve">[15]	N. Alsadhan, “A Multi-Module Machine Learning Approach to Detect Tax Fraud,” Computer Systems Science and Engineering (CSSE), 2023.</w:t>
      </w:r>
    </w:p>
    <w:p>
      <w:pPr>
        <w:spacing w:after="80" w:line="220"/>
        <w:ind w:left="316" w:hanging="316"/>
        <w:jc w:val="both"/>
      </w:pPr>
      <w:r>
        <w:rPr>
          <w:rFonts w:ascii="Times New Roman" w:cs="Times New Roman" w:eastAsia="Times New Roman" w:hAnsi="Times New Roman"/>
          <w:sz w:val="18"/>
          <w:szCs w:val="18"/>
        </w:rPr>
        <w:t xml:space="preserve">[16]	“Predicting Tax Fraud Using Supervised Machine Learning Approach,” African Journal of Science, Technology, Innovation and Development, vol. 15, no. 6, 2023.</w:t>
      </w:r>
    </w:p>
    <w:p>
      <w:pPr>
        <w:spacing w:after="80" w:line="220"/>
        <w:ind w:left="316" w:hanging="316"/>
        <w:jc w:val="both"/>
      </w:pPr>
      <w:r>
        <w:rPr>
          <w:rFonts w:ascii="Times New Roman" w:cs="Times New Roman" w:eastAsia="Times New Roman" w:hAnsi="Times New Roman"/>
          <w:sz w:val="18"/>
          <w:szCs w:val="18"/>
        </w:rPr>
        <w:t xml:space="preserve">[17]	“Income Tax Fraud Detection Using Machine Learning,” in Proc. IEEE Conf., IEEE Xplore, 2025.</w:t>
      </w:r>
    </w:p>
    <w:p>
      <w:pPr>
        <w:spacing w:after="80" w:line="220"/>
        <w:ind w:left="316" w:hanging="316"/>
        <w:jc w:val="both"/>
      </w:pPr>
      <w:r>
        <w:rPr>
          <w:rFonts w:ascii="Times New Roman" w:cs="Times New Roman" w:eastAsia="Times New Roman" w:hAnsi="Times New Roman"/>
          <w:sz w:val="18"/>
          <w:szCs w:val="18"/>
        </w:rPr>
        <w:t xml:space="preserve">[18]	“Tax Fraud Detection for Under-Reporting Declarations Using an Unsupervised Machine Learning Approach,” in Proc. 24th ACM SIGKDD Int. Conf. Knowledge Discovery &amp; Data Mining, 2018.</w:t>
      </w:r>
    </w:p>
    <w:p>
      <w:pPr>
        <w:spacing w:after="80" w:line="220"/>
        <w:ind w:left="316" w:hanging="316"/>
        <w:jc w:val="both"/>
      </w:pPr>
      <w:r>
        <w:rPr>
          <w:rFonts w:ascii="Times New Roman" w:cs="Times New Roman" w:eastAsia="Times New Roman" w:hAnsi="Times New Roman"/>
          <w:sz w:val="18"/>
          <w:szCs w:val="18"/>
        </w:rPr>
        <w:t xml:space="preserve">[19]	“A Network and Machine Learning Approach to Detect Value Added Tax Fraud,” arXiv:2106.14005, 2021.</w:t>
      </w:r>
    </w:p>
    <w:p>
      <w:pPr>
        <w:spacing w:after="80" w:line="220"/>
        <w:ind w:left="316" w:hanging="316"/>
        <w:jc w:val="both"/>
      </w:pPr>
      <w:r>
        <w:rPr>
          <w:rFonts w:ascii="Times New Roman" w:cs="Times New Roman" w:eastAsia="Times New Roman" w:hAnsi="Times New Roman"/>
          <w:sz w:val="18"/>
          <w:szCs w:val="18"/>
        </w:rPr>
        <w:t xml:space="preserve">[20]	N. Tax, K. J. de Vries, M. de Jong, N. Dosoula, B. van den Akker, J. Smith, O. Thuong, and L. Bernardi, “Machine Learning for Fraud Detection in E-Commerce: A Research Agenda,” arXiv:2107.01979, 2021.</w:t>
      </w:r>
    </w:p>
    <w:p>
      <w:pPr>
        <w:spacing w:after="80" w:line="220"/>
        <w:ind w:left="316" w:hanging="316"/>
        <w:jc w:val="both"/>
      </w:pPr>
      <w:r>
        <w:rPr>
          <w:rFonts w:ascii="Times New Roman" w:cs="Times New Roman" w:eastAsia="Times New Roman" w:hAnsi="Times New Roman"/>
          <w:sz w:val="18"/>
          <w:szCs w:val="18"/>
        </w:rPr>
        <w:t xml:space="preserve">[21]	“GSTChain: A Blockchain Network Application for the Goods and Services Tax,” ResearchGate preprint, 2021.</w:t>
      </w:r>
    </w:p>
    <w:p>
      <w:pPr>
        <w:spacing w:after="80" w:line="220"/>
        <w:ind w:left="316" w:hanging="316"/>
        <w:jc w:val="both"/>
      </w:pPr>
      <w:r>
        <w:rPr>
          <w:rFonts w:ascii="Times New Roman" w:cs="Times New Roman" w:eastAsia="Times New Roman" w:hAnsi="Times New Roman"/>
          <w:sz w:val="18"/>
          <w:szCs w:val="18"/>
        </w:rPr>
        <w:t xml:space="preserve">[22]	“Revolutionizing GST Collection: A Blockchain-Backed Platform for Security and Efficiency,” in Proc. Springer Conf., 2025.</w:t>
      </w:r>
    </w:p>
    <w:p>
      <w:pPr>
        <w:spacing w:after="80" w:line="220"/>
        <w:ind w:left="316" w:hanging="316"/>
        <w:jc w:val="both"/>
      </w:pPr>
      <w:r>
        <w:rPr>
          <w:rFonts w:ascii="Times New Roman" w:cs="Times New Roman" w:eastAsia="Times New Roman" w:hAnsi="Times New Roman"/>
          <w:sz w:val="18"/>
          <w:szCs w:val="18"/>
        </w:rPr>
        <w:t xml:space="preserve">[23]	“Blockchain-Based Value-Added Tax System: A Systematic Review,” DOAJ, vol. 26, no. 2, pp. 226–247, 2024.</w:t>
      </w:r>
    </w:p>
    <w:p>
      <w:pPr>
        <w:spacing w:after="80" w:line="220"/>
        <w:ind w:left="316" w:hanging="316"/>
        <w:jc w:val="both"/>
      </w:pPr>
      <w:r>
        <w:rPr>
          <w:rFonts w:ascii="Times New Roman" w:cs="Times New Roman" w:eastAsia="Times New Roman" w:hAnsi="Times New Roman"/>
          <w:sz w:val="18"/>
          <w:szCs w:val="18"/>
        </w:rPr>
        <w:t xml:space="preserve">[24]	G. L. Farchan, “A Blockchain-Based Approach for Secure and Transparent e-Faktur Issuance in Indonesia’s VAT Reporting System,” arXiv:2505.18157, 2025.</w:t>
      </w:r>
    </w:p>
    <w:p>
      <w:pPr>
        <w:spacing w:after="80" w:line="220"/>
        <w:ind w:left="316" w:hanging="316"/>
        <w:jc w:val="both"/>
      </w:pPr>
      <w:r>
        <w:rPr>
          <w:rFonts w:ascii="Times New Roman" w:cs="Times New Roman" w:eastAsia="Times New Roman" w:hAnsi="Times New Roman"/>
          <w:sz w:val="18"/>
          <w:szCs w:val="18"/>
        </w:rPr>
        <w:t xml:space="preserve">[25]	“Blockchain Technology Application for Value-Added Tax Systems,” Journal of Open Innovation: Technology, Market, and Complexity (MDPI), 2020.</w:t>
      </w:r>
    </w:p>
    <w:p>
      <w:pPr>
        <w:spacing w:after="80" w:line="220"/>
        <w:ind w:left="316" w:hanging="316"/>
        <w:jc w:val="both"/>
      </w:pPr>
      <w:r>
        <w:rPr>
          <w:rFonts w:ascii="Times New Roman" w:cs="Times New Roman" w:eastAsia="Times New Roman" w:hAnsi="Times New Roman"/>
          <w:sz w:val="18"/>
          <w:szCs w:val="18"/>
        </w:rPr>
        <w:t xml:space="preserve">[26]	“A Novel Approach for Invoice Management Using Blockchain,” arXiv:2309.03303, 2023.</w:t>
      </w:r>
    </w:p>
    <w:p>
      <w:pPr>
        <w:spacing w:after="80" w:line="220"/>
        <w:ind w:left="316" w:hanging="316"/>
        <w:jc w:val="both"/>
      </w:pPr>
      <w:r>
        <w:rPr>
          <w:rFonts w:ascii="Times New Roman" w:cs="Times New Roman" w:eastAsia="Times New Roman" w:hAnsi="Times New Roman"/>
          <w:sz w:val="18"/>
          <w:szCs w:val="18"/>
        </w:rPr>
        <w:t xml:space="preserve">[27]	P. Aar and J. Thakur, “Performance Evaluation and Validation of a Blockchain-Based GST Network with Dynamic Priority-Based Leader Election,” SN Computer Science, vol. 7, no. 3, 2026.</w:t>
      </w:r>
    </w:p>
    <w:p>
      <w:pPr>
        <w:spacing w:after="80" w:line="220"/>
        <w:ind w:left="316" w:hanging="316"/>
        <w:jc w:val="both"/>
      </w:pPr>
      <w:r>
        <w:rPr>
          <w:rFonts w:ascii="Times New Roman" w:cs="Times New Roman" w:eastAsia="Times New Roman" w:hAnsi="Times New Roman"/>
          <w:sz w:val="18"/>
          <w:szCs w:val="18"/>
        </w:rPr>
        <w:t xml:space="preserve">[28]	M. N. Martins and A. Ashofteh, “A Systematic Review on Robo-Advisors in Fintech,” in Proc. 23rd Conf. Portuguese Assoc. Information Systems (CAPSI), 2023.</w:t>
      </w:r>
    </w:p>
    <w:p>
      <w:pPr>
        <w:spacing w:after="80" w:line="220"/>
        <w:ind w:left="316" w:hanging="316"/>
        <w:jc w:val="both"/>
      </w:pPr>
      <w:r>
        <w:rPr>
          <w:rFonts w:ascii="Times New Roman" w:cs="Times New Roman" w:eastAsia="Times New Roman" w:hAnsi="Times New Roman"/>
          <w:sz w:val="18"/>
          <w:szCs w:val="18"/>
        </w:rPr>
        <w:t xml:space="preserve">[29]	“Evaluating Robo-Advisors Through Behavioral Finance: A Critical Review of Technology Potential, Rationality, and Investor Expectations,” Frontiers in Behavioral Economics, 2024.</w:t>
      </w:r>
    </w:p>
    <w:p>
      <w:pPr>
        <w:spacing w:after="80" w:line="220"/>
        <w:ind w:left="316" w:hanging="316"/>
        <w:jc w:val="both"/>
      </w:pPr>
      <w:r>
        <w:rPr>
          <w:rFonts w:ascii="Times New Roman" w:cs="Times New Roman" w:eastAsia="Times New Roman" w:hAnsi="Times New Roman"/>
          <w:sz w:val="18"/>
          <w:szCs w:val="18"/>
        </w:rPr>
        <w:t xml:space="preserve">[30]	“Robo-Advisors: A Systematic Literature Review,” Research in International Business and Finance, ScienceDirect, 2024.</w:t>
      </w:r>
    </w:p>
    <w:p>
      <w:pPr>
        <w:spacing w:after="80" w:line="220"/>
        <w:ind w:left="316" w:hanging="316"/>
        <w:jc w:val="both"/>
      </w:pPr>
      <w:r>
        <w:rPr>
          <w:rFonts w:ascii="Times New Roman" w:cs="Times New Roman" w:eastAsia="Times New Roman" w:hAnsi="Times New Roman"/>
          <w:sz w:val="18"/>
          <w:szCs w:val="18"/>
        </w:rPr>
        <w:t xml:space="preserve">[31]	F. Akhtar, M. Laeeq, et al., “Evolution of Robo-Advisors: A Literature Review and Future Research Agenda,” International Journal of Consumer Studies, 2025.</w:t>
      </w:r>
    </w:p>
    <w:p>
      <w:pPr>
        <w:spacing w:after="80" w:line="220"/>
        <w:ind w:left="316" w:hanging="316"/>
        <w:jc w:val="both"/>
      </w:pPr>
      <w:r>
        <w:rPr>
          <w:rFonts w:ascii="Times New Roman" w:cs="Times New Roman" w:eastAsia="Times New Roman" w:hAnsi="Times New Roman"/>
          <w:sz w:val="18"/>
          <w:szCs w:val="18"/>
        </w:rPr>
        <w:t xml:space="preserve">[32]	“Robo-Advisors: A Systematic Literature Review (Adoption Prediction Study),” ResearchGate preprint, 2024.</w:t>
      </w:r>
    </w:p>
    <w:p>
      <w:pPr>
        <w:spacing w:after="80" w:line="220"/>
        <w:ind w:left="316" w:hanging="316"/>
        <w:jc w:val="both"/>
      </w:pPr>
      <w:r>
        <w:rPr>
          <w:rFonts w:ascii="Times New Roman" w:cs="Times New Roman" w:eastAsia="Times New Roman" w:hAnsi="Times New Roman"/>
          <w:sz w:val="18"/>
          <w:szCs w:val="18"/>
        </w:rPr>
        <w:t xml:space="preserve">[33]	“The Role of Natural Language Processing (NLP) in Enhancing Customer Experience in Fintech: Applications in Chatbots and Virtual Assistants,” ResearchGate preprint, 2025.</w:t>
      </w:r>
    </w:p>
    <w:p>
      <w:pPr>
        <w:spacing w:after="80" w:line="220"/>
        <w:ind w:left="316" w:hanging="316"/>
        <w:jc w:val="both"/>
      </w:pPr>
      <w:r>
        <w:rPr>
          <w:rFonts w:ascii="Times New Roman" w:cs="Times New Roman" w:eastAsia="Times New Roman" w:hAnsi="Times New Roman"/>
          <w:sz w:val="18"/>
          <w:szCs w:val="18"/>
        </w:rPr>
        <w:t xml:space="preserve">[34]	“AI-Enhanced Fintech Communication: Leveraging Chatbots and NLP for Efficient Banking Support,” ResearchGate preprint, 2024.</w:t>
      </w:r>
    </w:p>
    <w:p>
      <w:pPr>
        <w:spacing w:after="80" w:line="220"/>
        <w:ind w:left="316" w:hanging="316"/>
        <w:jc w:val="both"/>
      </w:pPr>
      <w:r>
        <w:rPr>
          <w:rFonts w:ascii="Times New Roman" w:cs="Times New Roman" w:eastAsia="Times New Roman" w:hAnsi="Times New Roman"/>
          <w:sz w:val="18"/>
          <w:szCs w:val="18"/>
        </w:rPr>
        <w:t xml:space="preserve">[35]	“Application of Chatbots for Personalized Financial Advice,” ResearchGate preprint, 2022.</w:t>
      </w:r>
    </w:p>
    <w:p>
      <w:pPr>
        <w:spacing w:after="80" w:line="220"/>
        <w:ind w:left="316" w:hanging="316"/>
        <w:jc w:val="both"/>
      </w:pPr>
      <w:r>
        <w:rPr>
          <w:rFonts w:ascii="Times New Roman" w:cs="Times New Roman" w:eastAsia="Times New Roman" w:hAnsi="Times New Roman"/>
          <w:sz w:val="18"/>
          <w:szCs w:val="18"/>
        </w:rPr>
        <w:t xml:space="preserve">[36]	“FinAID: A Financial Advisor Application Using AI,” ResearchGate preprint, 2020.</w:t>
      </w:r>
    </w:p>
    <w:p>
      <w:pPr>
        <w:spacing w:after="80" w:line="220"/>
        <w:ind w:left="316" w:hanging="316"/>
        <w:jc w:val="both"/>
      </w:pPr>
      <w:r>
        <w:rPr>
          <w:rFonts w:ascii="Times New Roman" w:cs="Times New Roman" w:eastAsia="Times New Roman" w:hAnsi="Times New Roman"/>
          <w:sz w:val="18"/>
          <w:szCs w:val="18"/>
        </w:rPr>
        <w:t xml:space="preserve">[37]	“The Role of Natural Language Processing (NLP) in Conversational Banking and Fintech Chatbots,” ResearchGate preprint, 2025.</w:t>
      </w:r>
    </w:p>
    <w:p>
      <w:pPr>
        <w:spacing w:after="80" w:line="220"/>
        <w:ind w:left="316" w:hanging="316"/>
        <w:jc w:val="both"/>
      </w:pPr>
      <w:r>
        <w:rPr>
          <w:rFonts w:ascii="Times New Roman" w:cs="Times New Roman" w:eastAsia="Times New Roman" w:hAnsi="Times New Roman"/>
          <w:sz w:val="18"/>
          <w:szCs w:val="18"/>
        </w:rPr>
        <w:t xml:space="preserve">[38]	“Capit-AI: An AI-Driven Financial Advisory System,” ResearchGate preprint, 2025.</w:t>
      </w:r>
    </w:p>
    <w:p>
      <w:pPr>
        <w:spacing w:after="80" w:line="220"/>
        <w:ind w:left="316" w:hanging="316"/>
        <w:jc w:val="both"/>
      </w:pPr>
      <w:r>
        <w:rPr>
          <w:rFonts w:ascii="Times New Roman" w:cs="Times New Roman" w:eastAsia="Times New Roman" w:hAnsi="Times New Roman"/>
          <w:sz w:val="18"/>
          <w:szCs w:val="18"/>
        </w:rPr>
        <w:t xml:space="preserve">[39]	S. Agarwal, “Multi-Purpose NLP Chatbot: Design, Methodology &amp; Conclusion,” arXiv:2310.08977, 2023.</w:t>
      </w:r>
    </w:p>
    <w:p>
      <w:pPr>
        <w:spacing w:after="80" w:line="220"/>
        <w:ind w:left="316" w:hanging="316"/>
        <w:jc w:val="both"/>
      </w:pPr>
      <w:r>
        <w:rPr>
          <w:rFonts w:ascii="Times New Roman" w:cs="Times New Roman" w:eastAsia="Times New Roman" w:hAnsi="Times New Roman"/>
          <w:sz w:val="18"/>
          <w:szCs w:val="18"/>
        </w:rPr>
        <w:t xml:space="preserve">[40]	“AI-Powered Chatbots for Financial Advisory Services: Developing NLP and ML Models for Real-Time Customer Interaction and Personalized Recommendations,” Journal of Artificial Intelligence &amp; Machine Learning Studies, 2022.</w:t>
      </w:r>
    </w:p>
    <w:p>
      <w:pPr>
        <w:spacing w:after="80" w:line="220"/>
        <w:ind w:left="316" w:hanging="316"/>
        <w:jc w:val="both"/>
      </w:pPr>
      <w:r>
        <w:rPr>
          <w:rFonts w:ascii="Times New Roman" w:cs="Times New Roman" w:eastAsia="Times New Roman" w:hAnsi="Times New Roman"/>
          <w:sz w:val="18"/>
          <w:szCs w:val="18"/>
        </w:rPr>
        <w:t xml:space="preserve">[41]	“Budget and Expense Tracker,” International Journal of Innovative Science and Research Technology (IJISRT), 2024.</w:t>
      </w:r>
    </w:p>
    <w:p>
      <w:pPr>
        <w:spacing w:after="80" w:line="220"/>
        <w:ind w:left="316" w:hanging="316"/>
        <w:jc w:val="both"/>
      </w:pPr>
      <w:r>
        <w:rPr>
          <w:rFonts w:ascii="Times New Roman" w:cs="Times New Roman" w:eastAsia="Times New Roman" w:hAnsi="Times New Roman"/>
          <w:sz w:val="18"/>
          <w:szCs w:val="18"/>
        </w:rPr>
        <w:t xml:space="preserve">[42]	“Expense Manager Application,” ResearchGate preprint, 2020.</w:t>
      </w:r>
    </w:p>
    <w:p>
      <w:pPr>
        <w:spacing w:after="80" w:line="220"/>
        <w:ind w:left="316" w:hanging="316"/>
        <w:jc w:val="both"/>
      </w:pPr>
      <w:r>
        <w:rPr>
          <w:rFonts w:ascii="Times New Roman" w:cs="Times New Roman" w:eastAsia="Times New Roman" w:hAnsi="Times New Roman"/>
          <w:sz w:val="18"/>
          <w:szCs w:val="18"/>
        </w:rPr>
        <w:t xml:space="preserve">[43]	“An Android Based Mobile Application for Tracking Daily Expenses,” ResearchGate preprint, 2019.</w:t>
      </w:r>
    </w:p>
    <w:p>
      <w:pPr>
        <w:spacing w:after="80" w:line="220"/>
        <w:ind w:left="316" w:hanging="316"/>
        <w:jc w:val="both"/>
      </w:pPr>
      <w:r>
        <w:rPr>
          <w:rFonts w:ascii="Times New Roman" w:cs="Times New Roman" w:eastAsia="Times New Roman" w:hAnsi="Times New Roman"/>
          <w:sz w:val="18"/>
          <w:szCs w:val="18"/>
        </w:rPr>
        <w:t xml:space="preserve">[44]	“Case Study on Budget Tracker App,” International Journal of Research Publication and Reviews, vol. 5, no. 2, pp. 3539–3544, 2024.</w:t>
      </w:r>
    </w:p>
    <w:p>
      <w:pPr>
        <w:spacing w:after="80" w:line="220"/>
        <w:ind w:left="316" w:hanging="316"/>
        <w:jc w:val="both"/>
      </w:pPr>
      <w:r>
        <w:rPr>
          <w:rFonts w:ascii="Times New Roman" w:cs="Times New Roman" w:eastAsia="Times New Roman" w:hAnsi="Times New Roman"/>
          <w:sz w:val="18"/>
          <w:szCs w:val="18"/>
        </w:rPr>
        <w:t xml:space="preserve">[45]	“Moneyge It: A Mobile Application for Shared Expense Tracking,” International Journal of Research and Innovation in Social Science (IJRISS), 2025.</w:t>
      </w:r>
    </w:p>
    <w:p>
      <w:pPr>
        <w:spacing w:after="80" w:line="220"/>
        <w:ind w:left="316" w:hanging="316"/>
        <w:jc w:val="both"/>
      </w:pPr>
      <w:r>
        <w:rPr>
          <w:rFonts w:ascii="Times New Roman" w:cs="Times New Roman" w:eastAsia="Times New Roman" w:hAnsi="Times New Roman"/>
          <w:sz w:val="18"/>
          <w:szCs w:val="18"/>
        </w:rPr>
        <w:t xml:space="preserve">[46]	K. Tong, Z. Han, Y. Shen, Y. Long, and Y. Wei, “An Integrated Machine Learning and Deep Learning Framework for Credit Card Approval Prediction,” arXiv:2409.16676, 2024.</w:t>
      </w:r>
    </w:p>
    <w:p>
      <w:pPr>
        <w:spacing w:after="80" w:line="220"/>
        <w:ind w:left="316" w:hanging="316"/>
        <w:jc w:val="both"/>
      </w:pPr>
      <w:r>
        <w:rPr>
          <w:rFonts w:ascii="Times New Roman" w:cs="Times New Roman" w:eastAsia="Times New Roman" w:hAnsi="Times New Roman"/>
          <w:sz w:val="18"/>
          <w:szCs w:val="18"/>
        </w:rPr>
        <w:t xml:space="preserve">[47]	“Machine Learning-Based Loan Approval Automation: Enhancing Efficiency, Accuracy and Fairness in Credit Decision-Making,” Expert Systems, Wiley, 2026.</w:t>
      </w:r>
    </w:p>
    <w:p>
      <w:pPr>
        <w:spacing w:after="80" w:line="220"/>
        <w:ind w:left="316" w:hanging="316"/>
        <w:jc w:val="both"/>
      </w:pPr>
      <w:r>
        <w:rPr>
          <w:rFonts w:ascii="Times New Roman" w:cs="Times New Roman" w:eastAsia="Times New Roman" w:hAnsi="Times New Roman"/>
          <w:sz w:val="18"/>
          <w:szCs w:val="18"/>
        </w:rPr>
        <w:t xml:space="preserve">[48]	“Machine Learning Powered Financial Credit Scoring: A Systematic Literature Review,” Artificial Intelligence Review, Springer, 2025.</w:t>
      </w:r>
    </w:p>
    <w:p>
      <w:pPr>
        <w:spacing w:after="80" w:line="220"/>
        <w:ind w:left="316" w:hanging="316"/>
        <w:jc w:val="both"/>
      </w:pPr>
      <w:r>
        <w:rPr>
          <w:rFonts w:ascii="Times New Roman" w:cs="Times New Roman" w:eastAsia="Times New Roman" w:hAnsi="Times New Roman"/>
          <w:sz w:val="18"/>
          <w:szCs w:val="18"/>
        </w:rPr>
        <w:t xml:space="preserve">[49]	A. N. Ruiz-Carhuamaca, J. A. Yauricasa-Seguil, and J. C. Morales-Arevalo, “Design of a Mobile Learning App for Financial Literacy in Young People Using Gamification,” International Journal of Advanced Computer Science and Applications, vol. 15, no. 12, 2024.</w:t>
      </w:r>
    </w:p>
    <w:p>
      <w:pPr>
        <w:spacing w:after="80" w:line="220"/>
        <w:ind w:left="316" w:hanging="316"/>
        <w:jc w:val="both"/>
      </w:pPr>
      <w:r>
        <w:rPr>
          <w:rFonts w:ascii="Times New Roman" w:cs="Times New Roman" w:eastAsia="Times New Roman" w:hAnsi="Times New Roman"/>
          <w:sz w:val="18"/>
          <w:szCs w:val="18"/>
        </w:rPr>
        <w:t xml:space="preserve">[50]	A. Nagraj, “Cloud Computing and Microservices Architecture for Financial Applications: Leveraging AWS for Scalable and Secure Infrastructure,” ResearchGate preprint, 2024.</w:t>
      </w:r>
    </w:p>
    <w:sectPr>
      <w:type w:val="continuous"/>
      <w:pgSz w:w="11906" w:h="16838" w:orient="portrait"/>
      <w:pgMar w:top="1440" w:right="1080" w:bottom="144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2026-08-26T04:47:21.715Z</dcterms:created>
  <dcterms:modified xsi:type="dcterms:W3CDTF">2026-08-26T04:47:21.728Z</dcterms:modified>
</cp:coreProperties>
</file>

<file path=docProps/custom.xml><?xml version="1.0" encoding="utf-8"?>
<Properties xmlns="http://schemas.openxmlformats.org/officeDocument/2006/custom-properties" xmlns:vt="http://schemas.openxmlformats.org/officeDocument/2006/docPropsVTypes"/>
</file>