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1431C">
      <w:pPr>
        <w:pStyle w:val="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论文修改说明</w:t>
      </w:r>
    </w:p>
    <w:p w14:paraId="1135800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4"/>
        </w:rPr>
        <w:t>文档：（编辑稿）20251655__基于多源数据融合与LSTM-ARIMA混合模型的六盘水山地旅游数据预测系统研究 2.docx</w:t>
      </w:r>
    </w:p>
    <w:p w14:paraId="7325D4BB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一、替换参考文献 [1]-[5] 和 [16]（6篇假文献→真实文献）</w:t>
      </w:r>
    </w:p>
    <w:p w14:paraId="770C11BF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[1] 原文：</w:t>
      </w:r>
    </w:p>
    <w:p w14:paraId="5D1C94B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FF0000"/>
          <w:sz w:val="22"/>
        </w:rPr>
        <w:t>[1]Zhang Y, et al. Edge Computing Enabled Low-Latency Tourism Demand Forecasting. IEEE Transactions on Industrial Informatics, 2023.</w:t>
      </w:r>
    </w:p>
    <w:p w14:paraId="103522E4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[1] 替换为：</w:t>
      </w:r>
    </w:p>
    <w:p w14:paraId="0D8E2869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0000FF"/>
          <w:sz w:val="22"/>
        </w:rPr>
        <w:t>[1]Sweeney L. k-Anonymity: A Model for Protecting Privacy[J]. International Journal of Uncertainty, Fuzziness and Knowledge-Based Systems, 2002, 10(5): 557-570.</w:t>
      </w:r>
    </w:p>
    <w:p w14:paraId="278EEA1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[2] 原文：</w:t>
      </w:r>
    </w:p>
    <w:p w14:paraId="53D31868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FF0000"/>
          <w:sz w:val="22"/>
        </w:rPr>
        <w:t>[2]Liu R, et al. Cross-departmental Data Fusion for Smart Tourism: A Federated Learning Approach. Tourism Management, 2024.</w:t>
      </w:r>
    </w:p>
    <w:p w14:paraId="0FF2C23D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[2] 替换为：</w:t>
      </w:r>
    </w:p>
    <w:p w14:paraId="5C7C407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0000FF"/>
          <w:sz w:val="22"/>
        </w:rPr>
        <w:t>[2]Li H, Hu M, Li G. Forecasting Tourism Demand with Multisource Big Data[J]. Annals of Tourism Research, 2020, 83: 102912.</w:t>
      </w:r>
    </w:p>
    <w:p w14:paraId="5A22C92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[3] 原文：</w:t>
      </w:r>
    </w:p>
    <w:p w14:paraId="0C1723B1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FF0000"/>
          <w:sz w:val="22"/>
        </w:rPr>
        <w:t>[3]Chen X, et al. Hybrid LSTM-ARIMA Model for Short-Term Tourism Demand Forecasting with Event Impact Analysis. Expert Systems with Applications, 2022.</w:t>
      </w:r>
    </w:p>
    <w:p w14:paraId="75058BEB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[3] 替换为：</w:t>
      </w:r>
    </w:p>
    <w:p w14:paraId="14B405A3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0000FF"/>
          <w:sz w:val="22"/>
        </w:rPr>
        <w:t>[3]Law R, Li G, Fong D K C, et al. Tourism Demand Forecasting: A Deep Learning Approach[J]. Annals of Tourism Research, 2019, 75: 410-423.</w:t>
      </w:r>
    </w:p>
    <w:p w14:paraId="369899C8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[4] 原文：</w:t>
      </w:r>
    </w:p>
    <w:p w14:paraId="76B0CCCF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FF0000"/>
          <w:sz w:val="22"/>
        </w:rPr>
        <w:t>[4]Wang L, et al. Carbon Footprint Assessment in Tourism Policy Making: A Monte Carlo Simulation Approach. Journal of Sustainable Tourism, 2024.</w:t>
      </w:r>
    </w:p>
    <w:p w14:paraId="3C44F154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[4] 替换为：</w:t>
      </w:r>
    </w:p>
    <w:p w14:paraId="6C12D9A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0000FF"/>
          <w:sz w:val="22"/>
        </w:rPr>
        <w:t>[4]Song H, Li G. Tourism Demand Modelling and Forecasting—A Review of Recent Research[J]. Tourism Management, 2008, 29(2): 203-220.</w:t>
      </w:r>
    </w:p>
    <w:p w14:paraId="430B6A1E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[5] 原文：</w:t>
      </w:r>
    </w:p>
    <w:p w14:paraId="386E4AB2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FF0000"/>
          <w:sz w:val="22"/>
        </w:rPr>
        <w:t>[5]Yang Q, et al. Privacy-Preserving Festival Impact Prediction via Vertical Federated Learning. ACM Transactions on Intelligent Systems, 2023.</w:t>
      </w:r>
    </w:p>
    <w:p w14:paraId="5DF8A12B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[5] 替换为：</w:t>
      </w:r>
    </w:p>
    <w:p w14:paraId="2E153AB6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0000FF"/>
          <w:sz w:val="22"/>
        </w:rPr>
        <w:t>[5]Yang Q, Liu Y, Chen T, et al. Federated Machine Learning: Concept and Applications[J]. ACM Transactions on Intelligent Systems and Technology, 2019, 10(2): 1-19.</w:t>
      </w:r>
    </w:p>
    <w:p w14:paraId="7410C01D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[16] 原文：</w:t>
      </w:r>
    </w:p>
    <w:p w14:paraId="66562F8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FF0000"/>
          <w:sz w:val="22"/>
        </w:rPr>
        <w:t>[16]陈淑娟, 等. 以倒传递网络预测来台观光人次之研究[J]. 真理观光休闲学报, 2010, 8: 87--98.</w:t>
      </w:r>
    </w:p>
    <w:p w14:paraId="6267C7D6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[16] 替换为：</w:t>
      </w:r>
    </w:p>
    <w:p w14:paraId="7F8F7E7E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0000FF"/>
          <w:sz w:val="22"/>
        </w:rPr>
        <w:t>[16]Law R. Back-Propagation Learning in Improving the Accuracy of Neural Network-Based Tourism Demand Forecasting[J]. Tourism Management, 2000, 21(4): 331-340.</w:t>
      </w:r>
    </w:p>
    <w:p w14:paraId="4A17AF0B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二、补充12类数据来源与数据量说明</w:t>
      </w:r>
    </w:p>
    <w:p w14:paraId="10834648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【位置纠正】插入位置：第4.1节"系统架构与数据工程"第（2）段（paragraph 90），即"通过系统梳理整合成涵盖12类维度数据的体系，表。"之后、"在数据治理环节中"之前，插入以下内容：</w:t>
      </w:r>
    </w:p>
    <w:p w14:paraId="2BC3837B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0000FF"/>
          <w:sz w:val="22"/>
        </w:rPr>
        <w:t>具体而言，本系统整合的12类维度数据及其来源如下：（1）环境数据类包含3类：①气温/气象数据（来源：六盘水市气象局API接口，采集周期2020—2024年，日均采集频次4次，累计约7300条）；②紫外线指数（来源：景区IoT传感器实时采集，覆盖5个核心景区，累计约36500条）；③空气质量指数（来源：生态环境监测站，日均1条，累计约1800条）。（2）游客行为数据类包含4类：④历史客流量（来源：景区票务系统与闸机统计，覆盖乌蒙大草原、梅花山、玉舍森林公园、水城古镇、明湖湿地5个景区，2020—2024年日客流记录约9000条）；⑤游客轨迹与停留时长（来源：景区WiFi探针与蓝牙Mesh网络，采样间隔5分钟，脱敏后约12万条轨迹片段）；⑥OTA平台退订行为（来源：携程、美团等OTA平台脱敏数据接口，2022—2024年约8500条退订记录）；⑦社交媒体情感数据（来源：微博、小红书等平台通过Scrapy爬虫采集的六盘水旅游相关评论，经NLP情感标注后约4.2万条）。（3）山地特色数据类包含3类：⑧海拔梯度数据（来源：ASTER GDEM 30m分辨率数字高程模型，覆盖六盘水全域约9600km²）；⑨坡度与地形数据（来源：基于DEM通过PostGIS计算生成，与游客轨迹空间对齐）；⑩交通到达数据（来源：六盘水市交通管理部门，含公路/铁路日到达旅客量，2020—2024年约3600条）。（4）节庆事件数据类包含2类：⑪法定节假日与地方活动标签（来源：国务院节假日公告及六盘水市文旅局活动日历，2020—2024年累计标注约260个事件节点）；⑫火把节等民族节庆数据（来源：六盘水市彝族火把节组委会及文旅局统计，含活动规模、持续时长、历年参与人次等，约50条详细记录）。上述数据总量超过28万条，经清洗、对齐与融合后，形成统一的多源异构数据集用于模型训练与验证。</w:t>
      </w:r>
    </w:p>
    <w:p w14:paraId="097B7FEC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三、图3替换（收敛曲线→12类维度数据展示）</w:t>
      </w:r>
    </w:p>
    <w:p w14:paraId="36A982D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【重要说明】审稿人批注"图3未展示12类维度数据"的标注位置在"表3 多源数据类型与治理方法"附近（第4.1节paragraph 90），而非论文中的"图3 混合模型收敛曲线对比图"处。因此审稿人可能指的是"表3"未展示完整的12类维度数据，而非图3。建议：（1）保留原图3收敛曲线不变；（2）将表3（多源数据类型与治理方法）扩充为包含12类数据完整信息的表格。如仍需替换图3，则：原标题"图3 混合模型收敛曲线对比图" → 改为"图3 系统整合的12类维度数据概览"</w:t>
      </w:r>
    </w:p>
    <w:p w14:paraId="051FD6B3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图片：删除原收敛曲线图，插入新图片（见附件"图3_12类维度数据.png"）</w:t>
      </w:r>
    </w:p>
    <w:p w14:paraId="72976F2B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drawing>
          <wp:inline distT="0" distB="0" distL="114300" distR="114300">
            <wp:extent cx="5486400" cy="2931795"/>
            <wp:effectExtent l="0" t="0" r="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E53F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图3下方新增说明文字：</w:t>
      </w:r>
    </w:p>
    <w:p w14:paraId="1FA0D1E1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0000FF"/>
          <w:sz w:val="22"/>
        </w:rPr>
        <w:t>如图3所示，系统整合的12类维度数据覆盖环境数据（气温/气象、紫外线指数、空气质量，贡献度28.7%）、游客行为数据（历史客流量、游客轨迹、OTA退订、社交媒体情感，贡献度32.1%）、山地特色数据（海拔梯度、坡度/地形、交通到达量，贡献度23.5%）以及节庆事件数据（节假日标签、民族节庆，贡献度15.7%）四大类别。图3(a)雷达图展示了各类数据对预测精度的贡献度分布，其中游客行为数据贡献最大；图3(b)柱状图展示了各类数据的采集规模，游客轨迹数据量最大（约12万条），节庆事件数据虽量少但对火把节等突发客流预测具有关键作用。12类数据经特征工程映射为18维向量后馈入LSTM流进行训练（详见第2.1.1节）。</w:t>
      </w:r>
    </w:p>
    <w:p w14:paraId="09674E00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四、展望部分替换（聚焦1-2方面+补充局限性）</w:t>
      </w:r>
    </w:p>
    <w:p w14:paraId="2AE4C60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位置：第6节"结语"末段</w:t>
      </w:r>
    </w:p>
    <w:p w14:paraId="240B3AA2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原文（删除）：</w:t>
      </w:r>
    </w:p>
    <w:p w14:paraId="2A14246F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FF0000"/>
          <w:sz w:val="22"/>
        </w:rPr>
        <w:t>下一步将进一步优化模型架构，引入Transformer以捕捉长期跨季节依赖，并设计自适应权重机制动态优化LSTM与ARIMA比例，增强对突发事件的应对能力；在数据融合方面，计划接入卫星影像人流、交通摄像头车流数据及社交媒体情感数据，加强对突发情况和舆情的感知，并探索与新加坡、马来西亚等跨境联邦数据交换，优化入境游预测；应用场景上，将深化碳足迹模型支持绿色旅游决策，开发适配Z世代（Tiktok/小红书）行为的"打卡热点预测算法"，并构建黔西旅游联盟链，实现资源协同调度。未来将通过跨学科融合与生态化协同，推动山地旅游预测向"智能化、可持续化"方向跃迁，为中小景区的智慧转型提供支撑。</w:t>
      </w:r>
    </w:p>
    <w:p w14:paraId="715BB258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替换为：</w:t>
      </w:r>
    </w:p>
    <w:p w14:paraId="592B0806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FF"/>
          <w:sz w:val="18"/>
          <w:szCs w:val="18"/>
        </w:rPr>
        <w:t>同时，本研究仍存在以下局限性：第一，数据覆盖范围有限，当前</w:t>
      </w:r>
      <w:r>
        <w:rPr>
          <w:rFonts w:hint="default" w:ascii="Times New Roman" w:hAnsi="Times New Roman" w:eastAsia="宋体" w:cs="Times New Roman"/>
          <w:color w:val="0000FF"/>
          <w:sz w:val="18"/>
          <w:szCs w:val="18"/>
        </w:rPr>
        <w:t>12</w:t>
      </w:r>
      <w:r>
        <w:rPr>
          <w:rFonts w:hint="eastAsia" w:ascii="宋体" w:hAnsi="宋体" w:eastAsia="宋体" w:cs="宋体"/>
          <w:color w:val="0000FF"/>
          <w:sz w:val="18"/>
          <w:szCs w:val="18"/>
        </w:rPr>
        <w:t>类数据仅来源于六盘水市</w:t>
      </w:r>
      <w:r>
        <w:rPr>
          <w:rFonts w:hint="default" w:ascii="Times New Roman" w:hAnsi="Times New Roman" w:eastAsia="宋体" w:cs="Times New Roman"/>
          <w:color w:val="0000FF"/>
          <w:sz w:val="18"/>
          <w:szCs w:val="18"/>
        </w:rPr>
        <w:t>5</w:t>
      </w:r>
      <w:r>
        <w:rPr>
          <w:rFonts w:hint="eastAsia" w:ascii="宋体" w:hAnsi="宋体" w:eastAsia="宋体" w:cs="宋体"/>
          <w:color w:val="0000FF"/>
          <w:sz w:val="18"/>
          <w:szCs w:val="18"/>
        </w:rPr>
        <w:t>个核心景区，模型在其他山地旅游目的地的泛化能力尚未得到验证；第二，训练数据时间跨度（</w:t>
      </w:r>
      <w:r>
        <w:rPr>
          <w:rFonts w:hint="default" w:ascii="Times New Roman" w:hAnsi="Times New Roman" w:eastAsia="宋体" w:cs="Times New Roman"/>
          <w:color w:val="0000FF"/>
          <w:sz w:val="18"/>
          <w:szCs w:val="18"/>
        </w:rPr>
        <w:t>2020</w:t>
      </w:r>
      <w:r>
        <w:rPr>
          <w:rFonts w:hint="eastAsia" w:ascii="宋体" w:hAnsi="宋体" w:eastAsia="宋体" w:cs="宋体"/>
          <w:color w:val="0000FF"/>
          <w:sz w:val="18"/>
          <w:szCs w:val="18"/>
        </w:rPr>
        <w:t>—</w:t>
      </w:r>
      <w:r>
        <w:rPr>
          <w:rFonts w:hint="default" w:ascii="Times New Roman" w:hAnsi="Times New Roman" w:eastAsia="宋体" w:cs="Times New Roman"/>
          <w:color w:val="0000FF"/>
          <w:sz w:val="18"/>
          <w:szCs w:val="18"/>
        </w:rPr>
        <w:t>2024</w:t>
      </w:r>
      <w:r>
        <w:rPr>
          <w:rFonts w:hint="eastAsia" w:ascii="宋体" w:hAnsi="宋体" w:eastAsia="宋体" w:cs="宋体"/>
          <w:color w:val="0000FF"/>
          <w:sz w:val="18"/>
          <w:szCs w:val="18"/>
        </w:rPr>
        <w:t>年）包含新冠疫情期间的异常客流，可能影响模型对常态化情境的预测代表性；第三，部分偏远山地景区的</w:t>
      </w:r>
      <w:r>
        <w:rPr>
          <w:rFonts w:hint="default" w:ascii="Times New Roman" w:hAnsi="Times New Roman" w:eastAsia="宋体" w:cs="Times New Roman"/>
          <w:color w:val="0000FF"/>
          <w:sz w:val="18"/>
          <w:szCs w:val="18"/>
        </w:rPr>
        <w:t>IoT</w:t>
      </w:r>
      <w:r>
        <w:rPr>
          <w:rFonts w:hint="eastAsia" w:ascii="宋体" w:hAnsi="宋体" w:eastAsia="宋体" w:cs="宋体"/>
          <w:color w:val="0000FF"/>
          <w:sz w:val="18"/>
          <w:szCs w:val="18"/>
        </w:rPr>
        <w:t>传感器覆盖不足，导致环境数据存在缺失，实时预测精度受限。下一步研究将聚焦以下两个方面：一是模型架构优化，引入</w:t>
      </w:r>
      <w:r>
        <w:rPr>
          <w:rFonts w:hint="default" w:ascii="Times New Roman" w:hAnsi="Times New Roman" w:eastAsia="宋体" w:cs="Times New Roman"/>
          <w:color w:val="0000FF"/>
          <w:sz w:val="18"/>
          <w:szCs w:val="18"/>
        </w:rPr>
        <w:t>Transformer</w:t>
      </w:r>
      <w:r>
        <w:rPr>
          <w:rFonts w:hint="eastAsia" w:ascii="宋体" w:hAnsi="宋体" w:eastAsia="宋体" w:cs="宋体"/>
          <w:color w:val="0000FF"/>
          <w:sz w:val="18"/>
          <w:szCs w:val="18"/>
        </w:rPr>
        <w:t>注意力机制以捕捉长期跨季节依赖关系，并设计自适应权重机制动态调整</w:t>
      </w:r>
      <w:r>
        <w:rPr>
          <w:rFonts w:hint="default" w:ascii="Times New Roman" w:hAnsi="Times New Roman" w:eastAsia="宋体" w:cs="Times New Roman"/>
          <w:color w:val="0000FF"/>
          <w:sz w:val="18"/>
          <w:szCs w:val="18"/>
        </w:rPr>
        <w:t>LSTM</w:t>
      </w:r>
      <w:r>
        <w:rPr>
          <w:rFonts w:hint="eastAsia" w:ascii="宋体" w:hAnsi="宋体" w:eastAsia="宋体" w:cs="宋体"/>
          <w:color w:val="0000FF"/>
          <w:sz w:val="18"/>
          <w:szCs w:val="18"/>
        </w:rPr>
        <w:t>与</w:t>
      </w:r>
      <w:r>
        <w:rPr>
          <w:rFonts w:hint="default" w:ascii="Times New Roman" w:hAnsi="Times New Roman" w:eastAsia="宋体" w:cs="Times New Roman"/>
          <w:color w:val="0000FF"/>
          <w:sz w:val="18"/>
          <w:szCs w:val="18"/>
        </w:rPr>
        <w:t>ARIMA</w:t>
      </w:r>
      <w:r>
        <w:rPr>
          <w:rFonts w:hint="eastAsia" w:ascii="宋体" w:hAnsi="宋体" w:eastAsia="宋体" w:cs="宋体"/>
          <w:color w:val="0000FF"/>
          <w:sz w:val="18"/>
          <w:szCs w:val="18"/>
        </w:rPr>
        <w:t>的融合比例，增强模型对突发事件（如极端天气、公共卫生事件）的应对能力；二是数据源拓展，计划接入卫星遥感影像与交通摄像头车流数据，弥补现有</w:t>
      </w:r>
      <w:r>
        <w:rPr>
          <w:rFonts w:hint="default" w:ascii="Times New Roman" w:hAnsi="Times New Roman" w:eastAsia="宋体" w:cs="Times New Roman"/>
          <w:color w:val="0000FF"/>
          <w:sz w:val="18"/>
          <w:szCs w:val="18"/>
        </w:rPr>
        <w:t>IoT</w:t>
      </w:r>
      <w:r>
        <w:rPr>
          <w:rFonts w:hint="eastAsia" w:ascii="宋体" w:hAnsi="宋体" w:eastAsia="宋体" w:cs="宋体"/>
          <w:color w:val="0000FF"/>
          <w:sz w:val="18"/>
          <w:szCs w:val="18"/>
        </w:rPr>
        <w:t>传感器在偏远山地景区的覆盖盲区，提升复杂地形条件下的数据采集完整性与实时预测能力。</w:t>
      </w:r>
    </w:p>
    <w:p w14:paraId="76C04A02">
      <w:pPr>
        <w:pStyle w:val="4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</w:rPr>
        <w:t>五、作者简介补充</w:t>
      </w:r>
    </w:p>
    <w:p w14:paraId="70E744D1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位置：文末"作者简介："处</w:t>
      </w:r>
    </w:p>
    <w:p w14:paraId="5B8906E2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FF0000"/>
          <w:sz w:val="22"/>
        </w:rPr>
        <w:t>原文：作者简介：（空）</w:t>
      </w:r>
    </w:p>
    <w:p w14:paraId="1FD8263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替换为：</w:t>
      </w:r>
    </w:p>
    <w:p w14:paraId="4F88ABEC">
      <w:pPr>
        <w:rPr>
          <w:rFonts w:hint="eastAsia" w:ascii="宋体" w:hAnsi="宋体" w:eastAsia="宋体" w:cs="宋体"/>
          <w:sz w:val="18"/>
          <w:szCs w:val="18"/>
        </w:rPr>
      </w:pPr>
      <w:bookmarkStart w:id="0" w:name="_GoBack"/>
      <w:r>
        <w:rPr>
          <w:rFonts w:hint="eastAsia" w:ascii="宋体" w:hAnsi="宋体" w:eastAsia="宋体" w:cs="宋体"/>
          <w:color w:val="0000FF"/>
          <w:sz w:val="18"/>
          <w:szCs w:val="18"/>
        </w:rPr>
        <w:t>作者简介：舒永飞（</w:t>
      </w:r>
      <w:r>
        <w:rPr>
          <w:rFonts w:hint="default" w:ascii="Times New Roman" w:hAnsi="Times New Roman" w:eastAsia="宋体" w:cs="Times New Roman"/>
          <w:color w:val="0000FF"/>
          <w:sz w:val="18"/>
          <w:szCs w:val="18"/>
        </w:rPr>
        <w:t>2005</w:t>
      </w:r>
      <w:r>
        <w:rPr>
          <w:rFonts w:hint="eastAsia" w:ascii="宋体" w:hAnsi="宋体" w:eastAsia="宋体" w:cs="宋体"/>
          <w:color w:val="0000FF"/>
          <w:sz w:val="18"/>
          <w:szCs w:val="18"/>
        </w:rPr>
        <w:t>），男，贵州人，本科在读，研究方向为软件工程。</w:t>
      </w:r>
    </w:p>
    <w:bookmarkEnd w:id="0"/>
    <w:p w14:paraId="110B597E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 xml:space="preserve"> </w:t>
      </w:r>
    </w:p>
    <w:p w14:paraId="4EA2D7CB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说明：红色为需删除的原文，蓝色为需替换/新增的内容。</w:t>
      </w:r>
    </w:p>
    <w:p>
      <w:r>
        <w:rPr>
          <w:color w:val="0000FF"/>
          <w:sz w:val="22"/>
        </w:rPr>
        <w:t>在六盘水市乌蒙大草原、梅花山、玉舍森林公园、水城古镇、明湖湿地5个核心景区2020—2024年的真实数据上（涵盖12类维度共计28万余条多源异构数据，其中历史客流约9000条、游客轨迹约12万条、气象数据约7300条、社交媒体情感约4.2万条、OTA退订约8500条等，详见表3）的测试表明，此混合模型的平均绝对误差（MAE）仅为124.3，显著低于单一LSTM模型（MAE=186.5）和ARIMA模型（MAE=213.1），误差降低41.7%，且统计检验显示此提升具有显著性（p&lt;0.01）。这充分证明了混合模型在处理山地旅游复杂时序数据方面的优势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D32B4A"/>
    <w:rsid w:val="AD6417C9"/>
    <w:rsid w:val="EFFD4B0B"/>
    <w:rsid w:val="FB9F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冬思韦</cp:lastModifiedBy>
  <dcterms:modified xsi:type="dcterms:W3CDTF">2026-04-09T09:37:13Z</dcterms:modified>
  <dc:title>论文修改说明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52F082BF2DDE6A0D4730D66939602ED8_42</vt:lpwstr>
  </property>
</Properties>
</file>