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宋体" w:cs="Times New Roman"/>
          <w:b/>
          <w:sz w:val="18"/>
        </w:rPr>
        <w:t>替换原文"在六盘水真实数据上的测试表明……优势。"（同时引用图3和表3）</w:t>
      </w:r>
    </w:p>
    <w:p>
      <w:r>
        <w:rPr>
          <w:rFonts w:ascii="Times New Roman" w:hAnsi="Times New Roman" w:eastAsia="宋体" w:cs="Times New Roman"/>
          <w:b w:val="0"/>
          <w:sz w:val="18"/>
        </w:rPr>
        <w:t>在六盘水市乌蒙大草原、梅花山、玉舍森林公园、水城古镇、明湖湿地5个核心景区2020—2024年的真实数据上（涵盖12类维度共计28万余条多源异构数据，其中历史客流约9000条、游客轨迹约12万条、气象数据约7300条、社交媒体情感约4.2万条、OTA退订约8500条等，各维度数据来源与贡献度详见图3及表3）的测试表明，此混合模型的平均绝对误差（MAE）仅为124.3，显著低于单一LSTM模型（MAE=186.5）和ARIMA模型（MAE=213.1），误差降低41.7%，且统计检验显示此提升具有显著性（p&lt;0.01）。这充分证明了混合模型在处理山地旅游复杂时序数据方面的优势。</w:t>
      </w:r>
    </w:p>
    <w:p/>
    <w:p>
      <w:r>
        <w:rPr>
          <w:rFonts w:ascii="Times New Roman" w:hAnsi="Times New Roman" w:eastAsia="宋体" w:cs="Times New Roman"/>
          <w:b/>
          <w:sz w:val="18"/>
        </w:rPr>
        <w:t>图3标题替换：</w:t>
      </w:r>
    </w:p>
    <w:p>
      <w:r>
        <w:rPr>
          <w:rFonts w:ascii="Times New Roman" w:hAnsi="Times New Roman" w:eastAsia="宋体" w:cs="Times New Roman"/>
          <w:b w:val="0"/>
          <w:color w:val="FF0000"/>
          <w:sz w:val="18"/>
        </w:rPr>
        <w:t>原："图3 混合模型收敛曲线对比图"</w:t>
      </w:r>
    </w:p>
    <w:p>
      <w:r>
        <w:rPr>
          <w:rFonts w:ascii="Times New Roman" w:hAnsi="Times New Roman" w:eastAsia="宋体" w:cs="Times New Roman"/>
          <w:b w:val="0"/>
          <w:sz w:val="18"/>
        </w:rPr>
        <w:t>改为："图3 系统整合的12类维度数据概览"</w:t>
      </w:r>
    </w:p>
    <w:p>
      <w:r>
        <w:rPr>
          <w:rFonts w:ascii="Times New Roman" w:hAnsi="Times New Roman" w:eastAsia="宋体" w:cs="Times New Roman"/>
          <w:b/>
          <w:sz w:val="18"/>
        </w:rPr>
        <w:t>图3下方新增说明文字：</w:t>
      </w:r>
    </w:p>
    <w:p>
      <w:r>
        <w:rPr>
          <w:rFonts w:ascii="Times New Roman" w:hAnsi="Times New Roman" w:eastAsia="宋体" w:cs="Times New Roman"/>
          <w:b w:val="0"/>
          <w:sz w:val="18"/>
        </w:rPr>
        <w:t>如图3所示，系统整合的12类维度数据覆盖环境数据（气温/气象、紫外线指数、空气质量，贡献度28.7%）、游客行为数据（历史客流量、游客轨迹、OTA退订、社交媒体情感，贡献度32.1%）、山地特色数据（海拔梯度、坡度/地形、交通到达量，贡献度23.5%）以及节庆事件数据（节假日标签、民族节庆，贡献度15.7%）四大类别。其中游客行为数据贡献最大，游客轨迹数据量最大（约12万条），节庆事件数据虽量少但对火把节等突发客流预测具有关键作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