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b/>
          <w:sz w:val="22"/>
        </w:rPr>
        <w:t>表3 多源数据类型与治理方法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数据维度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数据来源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数据量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治理技术</w:t>
            </w:r>
          </w:p>
        </w:tc>
        <w:tc>
          <w:tcPr>
            <w:tcW w:type="dxa" w:w="850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c>
          <w:tcPr>
            <w:tcW w:type="dxa" w:w="1417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环境数据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环境数据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环境数据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①气温/气象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六盘水市气象局API接口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约7300条（2020—2024年）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小波去噪（软阈值）</w:t>
            </w:r>
          </w:p>
        </w:tc>
        <w:tc>
          <w:tcPr>
            <w:tcW w:type="dxa" w:w="850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28.7%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②紫外线指数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景区IoT传感器实时采集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约36500条（5个景区）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小波去噪（软阈值）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③空气质量指数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生态环境监测站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约1800条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小波去噪（软阈值）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</w:tr>
      <w:tr>
        <w:tc>
          <w:tcPr>
            <w:tcW w:type="dxa" w:w="1417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游客行为数据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游客行为数据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游客行为数据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游客行为数据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④历史客流量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景区票务系统与闸机统计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约9000条（5个景区）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差分隐私（ε=1.0）</w:t>
            </w:r>
          </w:p>
        </w:tc>
        <w:tc>
          <w:tcPr>
            <w:tcW w:type="dxa" w:w="850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32.1%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⑤游客轨迹与停留时长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WiFi探针/蓝牙Mesh网络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约12万条轨迹片段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差分隐私（ε=1.0）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⑥OTA退订行为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携程、美团等OTA平台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约8500条（2022—2024年）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差分隐私（ε=1.0）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⑦社交媒体情感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微博、小红书（Scrapy爬虫+NLP标注）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约4.2万条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差分隐私（ε=1.0）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</w:tr>
      <w:tr>
        <w:tc>
          <w:tcPr>
            <w:tcW w:type="dxa" w:w="1417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山地特色数据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山地特色数据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山地特色数据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⑧海拔梯度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ASTER GDEM 30m分辨率DEM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覆盖约9600km²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PostGIS空间对齐</w:t>
            </w:r>
          </w:p>
        </w:tc>
        <w:tc>
          <w:tcPr>
            <w:tcW w:type="dxa" w:w="850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23.5%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⑨坡度/地形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基于DEM经PostGIS计算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与轨迹空间对齐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PostGIS空间对齐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⑩交通到达量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六盘水市交通管理部门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约3600条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PostGIS空间对齐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/>
        </w:tc>
      </w:tr>
      <w:tr>
        <w:tc>
          <w:tcPr>
            <w:tcW w:type="dxa" w:w="1417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节庆事件数据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节庆事件数据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⑪节假日/活动标签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国务院公告+市文旅局日历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约260个事件节点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联邦特征编码</w:t>
            </w:r>
          </w:p>
        </w:tc>
        <w:tc>
          <w:tcPr>
            <w:tcW w:type="dxa" w:w="850"/>
            <w:vMerge w:val="restart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15.7%</w:t>
            </w:r>
          </w:p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</w:r>
          </w:p>
        </w:tc>
      </w:tr>
      <w:tr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/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⑫民族节庆（火把节等）</w:t>
            </w:r>
          </w:p>
        </w:tc>
        <w:tc>
          <w:tcPr>
            <w:tcW w:type="dxa" w:w="255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市彝族火把节组委会/文旅局</w:t>
            </w:r>
          </w:p>
        </w:tc>
        <w:tc>
          <w:tcPr>
            <w:tcW w:type="dxa" w:w="1984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约50条详细记录</w:t>
            </w:r>
          </w:p>
        </w:tc>
        <w:tc>
          <w:tcPr>
            <w:tcW w:type="dxa" w:w="170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  <w:vAlign w:val="center"/>
          </w:tcPr>
          <w:p>
            <w:pPr>
              <w:jc w:val="center"/>
              <w:spacing w:line="240" w:lineRule="auto"/>
            </w:pPr>
            <w:r>
              <w:rPr>
                <w:rFonts w:ascii="Times New Roman" w:hAnsi="Times New Roman" w:eastAsia="宋体" w:cs="Times New Roman"/>
                <w:sz w:val="18"/>
              </w:rPr>
              <w:t>联邦特征编码</w:t>
            </w:r>
          </w:p>
        </w:tc>
        <w:tc>
          <w:tcPr>
            <w:tcW w:type="dxa" w:w="1440"/>
            <w:vMerge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/>
        </w:tc>
      </w:tr>
    </w:tbl>
    <w:p>
      <w:r>
        <w:rPr>
          <w:rFonts w:ascii="宋体" w:hAnsi="宋体" w:eastAsia="宋体"/>
          <w:i/>
          <w:sz w:val="18"/>
        </w:rPr>
        <w:t>注：上述数据总量超过28万条，经清洗、对齐与融合后形成统一的多源异构数据集用于模型训练与验证。</w:t>
      </w:r>
    </w:p>
    <w:p>
      <w:r>
        <w:rPr>
          <w:rFonts w:ascii="Times New Roman" w:hAnsi="Times New Roman" w:eastAsia="宋体" w:cs="Times New Roman"/>
          <w:i/>
          <w:sz w:val="18"/>
        </w:rPr>
        <w:t>注：上述数据总量超过28万条，经清洗、对齐与融合后形成统一的多源异构数据集用于模型训练与验证。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表3 多源数据类型与治理方法（扩充版）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