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3312C" w14:textId="6DDEAC14" w:rsidR="004173F5" w:rsidRDefault="00787178" w:rsidP="0073759E">
      <w:pPr>
        <w:spacing w:line="360" w:lineRule="auto"/>
        <w:jc w:val="both"/>
      </w:pPr>
      <w:r>
        <w:t>Pooja</w:t>
      </w:r>
      <w:r w:rsidR="0073759E" w:rsidRPr="0073759E">
        <w:t xml:space="preserve"> took charge of the technical aspects related to network infrastructure design and implementation. They conducted in-depth research on resilient network architectures and access control mechanisms suitable for integrating personal devices into the corporate network securely. </w:t>
      </w:r>
      <w:r>
        <w:t>Pooja</w:t>
      </w:r>
      <w:r w:rsidR="0073759E" w:rsidRPr="0073759E">
        <w:t xml:space="preserve"> was responsible for designing and configuring routers, switches, and wireless access points to support BYOD policies at TechSolutions Inc. Additionally, they proposed and justified the selection of VPN technology to ensure encrypted data transmission and secure remote connectivity for personal devices. </w:t>
      </w:r>
      <w:r>
        <w:t>Pooja</w:t>
      </w:r>
      <w:r w:rsidR="0073759E" w:rsidRPr="0073759E">
        <w:t xml:space="preserve"> played a key role in formulating network segmentation strategies to isolate BYOD traffic and mitigate security risks. Their contributions ensured the scalability, reliability, and performance of the network infrastructure to accommodate the growing influx of personal devices while maintaining optimal network performance.</w:t>
      </w:r>
    </w:p>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47"/>
    <w:rsid w:val="004173F5"/>
    <w:rsid w:val="005A0984"/>
    <w:rsid w:val="0073759E"/>
    <w:rsid w:val="00787178"/>
    <w:rsid w:val="007B5907"/>
    <w:rsid w:val="00F17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F28D3"/>
  <w15:chartTrackingRefBased/>
  <w15:docId w15:val="{DF402768-0AEF-4E47-BF98-4F96B523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799</Characters>
  <Application>Microsoft Office Word</Application>
  <DocSecurity>0</DocSecurity>
  <Lines>9</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2024-04-17T12:47:00Z</dcterms:created>
  <dcterms:modified xsi:type="dcterms:W3CDTF">2024-04-18T09:33:00Z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2532aef3511c9676a21614cc53281fd4970b5f09732f95c86d24d1503d2d183b</vt:lpwstr>
  </property>
</Properties>
</file>