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pPr>
      <w:r>
        <w:rPr>
          <w:rFonts w:ascii="Aptos" w:hAnsi="Aptos"/>
          <w:b/>
          <w:color w:val="087E8B"/>
          <w:sz w:val="18"/>
        </w:rPr>
        <w:t>BRICS TRACK 2 • SUSTAINABILITY • INDIA-FIRST PROTOTYPE</w:t>
      </w:r>
    </w:p>
    <w:p>
      <w:pPr>
        <w:pStyle w:val="Title"/>
      </w:pPr>
      <w:r>
        <w:t>AirSentinel</w:t>
      </w:r>
    </w:p>
    <w:p>
      <w:pPr>
        <w:spacing w:after="400"/>
      </w:pPr>
      <w:r>
        <w:rPr>
          <w:rFonts w:ascii="Aptos Display" w:hAnsi="Aptos Display"/>
          <w:b/>
          <w:color w:val="087E8B"/>
          <w:sz w:val="40"/>
        </w:rPr>
        <w:t>Locality-aware clean-air early warning</w:t>
        <w:br/>
        <w:t>and human authority review</w:t>
      </w:r>
    </w:p>
    <w:tbl>
      <w:tblPr>
        <w:tblW w:type="auto" w:w="0"/>
        <w:jc w:val="center"/>
        <w:tblLook w:firstColumn="1" w:firstRow="1" w:lastColumn="0" w:lastRow="0" w:noHBand="0" w:noVBand="1" w:val="04A0"/>
      </w:tblPr>
      <w:tblGrid>
        <w:gridCol w:w="10142"/>
      </w:tblGrid>
      <w:tr>
        <w:tc>
          <w:tcPr>
            <w:tcW w:type="dxa" w:w="10142"/>
            <w:shd w:fill="EAF5EC"/>
            <w:tcMar>
              <w:top w:w="130" w:type="dxa"/>
              <w:start w:w="170" w:type="dxa"/>
              <w:bottom w:w="130" w:type="dxa"/>
              <w:end w:w="170" w:type="dxa"/>
            </w:tcMar>
          </w:tcPr>
          <w:p>
            <w:pPr>
              <w:spacing w:after="40"/>
            </w:pPr>
            <w:r>
              <w:rPr>
                <w:b/>
                <w:color w:val="123047"/>
                <w:sz w:val="22"/>
              </w:rPr>
              <w:t>Working prototype, evidence-first claims</w:t>
            </w:r>
          </w:p>
          <w:p>
            <w:pPr>
              <w:spacing w:after="0"/>
            </w:pPr>
            <w:r>
              <w:t>Six-pollutant monitoring • 181.9-day locality evidence • 1h/3h/4h forecasts • sudden-spike review • citizen multimodal support • secure Google Cloud path</w:t>
            </w:r>
          </w:p>
        </w:tc>
      </w:tr>
    </w:tbl>
    <w:p>
      <w:pPr>
        <w:spacing w:after="20"/>
      </w:pPr>
    </w:p>
    <w:p/>
    <w:p>
      <w:pPr>
        <w:spacing w:before="1200"/>
      </w:pPr>
      <w:r>
        <w:rPr>
          <w:b/>
        </w:rPr>
        <w:t>FINAL PROJECT REPORT</w:t>
      </w:r>
    </w:p>
    <w:p>
      <w:r>
        <w:rPr>
          <w:color w:val="667085"/>
        </w:rPr>
        <w:t>26 August 2026</w:t>
      </w:r>
    </w:p>
    <w:p>
      <w:r>
        <w:rPr>
          <w:i/>
          <w:color w:val="667085"/>
        </w:rPr>
        <w:t>Status: local implementation verified; cloud deployment requires team-owned credentials and billing.</w:t>
      </w:r>
    </w:p>
    <w:p>
      <w:r>
        <w:br w:type="page"/>
      </w:r>
    </w:p>
    <w:p>
      <w:pPr>
        <w:pStyle w:val="Heading1"/>
      </w:pPr>
      <w:r>
        <w:t>Executive summary</w:t>
      </w:r>
    </w:p>
    <w:p>
      <w:r>
        <w:t>AirSentinel closes the gap between city-wide air-quality visibility and a local government decision. It combines provenance-labelled outdoor observations, weather, contextual satellite layers and consented community evidence; forecasts one to four hours ahead; detects unsupported coverage or a sudden forecast miss; and creates a cause-unverified case for authenticated human review.</w:t>
      </w:r>
    </w:p>
    <w:tbl>
      <w:tblPr>
        <w:tblW w:type="auto" w:w="0"/>
        <w:jc w:val="center"/>
        <w:tblLook w:firstColumn="1" w:firstRow="1" w:lastColumn="0" w:lastRow="0" w:noHBand="0" w:noVBand="1" w:val="04A0"/>
      </w:tblPr>
      <w:tblGrid>
        <w:gridCol w:w="10142"/>
      </w:tblGrid>
      <w:tr>
        <w:tc>
          <w:tcPr>
            <w:tcW w:type="dxa" w:w="10142"/>
            <w:shd w:fill="E8F5F6"/>
            <w:tcMar>
              <w:top w:w="130" w:type="dxa"/>
              <w:start w:w="170" w:type="dxa"/>
              <w:bottom w:w="130" w:type="dxa"/>
              <w:end w:w="170" w:type="dxa"/>
            </w:tcMar>
          </w:tcPr>
          <w:p>
            <w:pPr>
              <w:spacing w:after="40"/>
            </w:pPr>
            <w:r>
              <w:rPr>
                <w:b/>
                <w:color w:val="123047"/>
                <w:sz w:val="22"/>
              </w:rPr>
              <w:t>Main result</w:t>
            </w:r>
          </w:p>
          <w:p>
            <w:pPr>
              <w:spacing w:after="0"/>
            </w:pPr>
            <w:r>
              <w:t>Najafgarh retains 7,516 PM2.5 rows and Safdarjung 7,889 rows across 181.9 days, with two reporting stations each. Their stored PM2.5 completeness is 86.1% and 90.4%, respectively. The source is labelled OpenAQ fallback data, not an authorised CPCB archive.</w:t>
            </w:r>
          </w:p>
        </w:tc>
      </w:tr>
    </w:tbl>
    <w:p>
      <w:pPr>
        <w:spacing w:after="20"/>
      </w:pPr>
    </w:p>
    <w:p>
      <w:pPr>
        <w:pStyle w:val="Heading2"/>
      </w:pPr>
      <w:r>
        <w:t>What judges can evaluate end to end</w:t>
      </w:r>
    </w:p>
    <w:p>
      <w:pPr>
        <w:spacing w:after="60"/>
        <w:ind w:left="283" w:hanging="283"/>
      </w:pPr>
      <w:r>
        <w:rPr>
          <w:b/>
          <w:color w:val="087E8B"/>
        </w:rPr>
        <w:t xml:space="preserve">1.  </w:t>
      </w:r>
      <w:r>
        <w:t>Inspect national/city conditions and locality evidence quality.</w:t>
      </w:r>
    </w:p>
    <w:p>
      <w:pPr>
        <w:spacing w:after="60"/>
        <w:ind w:left="283" w:hanging="283"/>
      </w:pPr>
      <w:r>
        <w:rPr>
          <w:b/>
          <w:color w:val="087E8B"/>
        </w:rPr>
        <w:t xml:space="preserve">2.  </w:t>
      </w:r>
      <w:r>
        <w:t>View a one-, three- or four-hour historical prototype forecast and uncertainty range.</w:t>
      </w:r>
    </w:p>
    <w:p>
      <w:pPr>
        <w:spacing w:after="60"/>
        <w:ind w:left="283" w:hanging="283"/>
      </w:pPr>
      <w:r>
        <w:rPr>
          <w:b/>
          <w:color w:val="087E8B"/>
        </w:rPr>
        <w:t xml:space="preserve">3.  </w:t>
      </w:r>
      <w:r>
        <w:t>Open an unexpected-spike or evidence-gap case whose cause remains unverified.</w:t>
      </w:r>
    </w:p>
    <w:p>
      <w:pPr>
        <w:spacing w:after="60"/>
        <w:ind w:left="283" w:hanging="283"/>
      </w:pPr>
      <w:r>
        <w:rPr>
          <w:b/>
          <w:color w:val="087E8B"/>
        </w:rPr>
        <w:t xml:space="preserve">4.  </w:t>
      </w:r>
      <w:r>
        <w:t>Submit privacy-minimised citizen evidence and keep it pending moderation.</w:t>
      </w:r>
    </w:p>
    <w:p>
      <w:pPr>
        <w:spacing w:after="60"/>
        <w:ind w:left="283" w:hanging="283"/>
      </w:pPr>
      <w:r>
        <w:rPr>
          <w:b/>
          <w:color w:val="087E8B"/>
        </w:rPr>
        <w:t xml:space="preserve">5.  </w:t>
      </w:r>
      <w:r>
        <w:t>Record a local demonstration review action, or use the private authorised API path for production-mode action testing.</w:t>
      </w:r>
    </w:p>
    <w:p>
      <w:pPr>
        <w:spacing w:after="60"/>
        <w:ind w:left="283" w:hanging="283"/>
      </w:pPr>
      <w:r>
        <w:rPr>
          <w:b/>
          <w:color w:val="087E8B"/>
        </w:rPr>
        <w:t xml:space="preserve">6.  </w:t>
      </w:r>
      <w:r>
        <w:t>Inspect honest Google integration readiness and secure deployment boundaries.</w:t>
      </w:r>
    </w:p>
    <w:p>
      <w:pPr>
        <w:pStyle w:val="Heading2"/>
      </w:pPr>
      <w:r>
        <w:t>Truth boundary</w:t>
      </w:r>
    </w:p>
    <w:p>
      <w:pPr>
        <w:pStyle w:val="ListBullet"/>
        <w:spacing w:after="60"/>
      </w:pPr>
      <w:r>
        <w:t>Not official AQI, a medical device, source attribution or automatic enforcement.</w:t>
      </w:r>
    </w:p>
    <w:p>
      <w:pPr>
        <w:pStyle w:val="ListBullet"/>
        <w:spacing w:after="60"/>
      </w:pPr>
      <w:r>
        <w:t>OpenAQ is a labelled historical-development fallback, not presented as an authorised CPCB archive.</w:t>
      </w:r>
    </w:p>
    <w:p>
      <w:pPr>
        <w:pStyle w:val="ListBullet"/>
        <w:spacing w:after="60"/>
      </w:pPr>
      <w:r>
        <w:t>No Google Cloud deployment is claimed until a team-owned project and verified URLs exist.</w:t>
      </w:r>
    </w:p>
    <w:p>
      <w:pPr>
        <w:pStyle w:val="ListBullet"/>
        <w:spacing w:after="60"/>
      </w:pPr>
      <w:r>
        <w:t>Deep-learning and federated-learning models are not promoted in this submission.</w:t>
      </w:r>
    </w:p>
    <w:p>
      <w:pPr>
        <w:pStyle w:val="Heading1"/>
      </w:pPr>
      <w:r>
        <w:t>1. Problem and solution</w:t>
      </w:r>
    </w:p>
    <w:p>
      <w:pPr>
        <w:pStyle w:val="Heading2"/>
      </w:pPr>
      <w:r>
        <w:t>The four gaps</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361"/>
            <w:shd w:fill="123047"/>
            <w:tcMar>
              <w:top w:w="100" w:type="dxa"/>
              <w:start w:w="120" w:type="dxa"/>
              <w:bottom w:w="100" w:type="dxa"/>
              <w:end w:w="120" w:type="dxa"/>
            </w:tcMar>
            <w:vAlign w:val="center"/>
          </w:tcPr>
          <w:p>
            <w:pPr>
              <w:jc w:val="left"/>
            </w:pPr>
            <w:r>
              <w:rPr>
                <w:b/>
                <w:color w:val="FFFFFF"/>
                <w:sz w:val="17"/>
              </w:rPr>
              <w:t>Gap</w:t>
            </w:r>
          </w:p>
        </w:tc>
        <w:tc>
          <w:tcPr>
            <w:tcW w:type="dxa" w:w="3402"/>
            <w:shd w:fill="123047"/>
            <w:tcMar>
              <w:top w:w="100" w:type="dxa"/>
              <w:start w:w="120" w:type="dxa"/>
              <w:bottom w:w="100" w:type="dxa"/>
              <w:end w:w="120" w:type="dxa"/>
            </w:tcMar>
            <w:vAlign w:val="center"/>
          </w:tcPr>
          <w:p>
            <w:pPr>
              <w:jc w:val="left"/>
            </w:pPr>
            <w:r>
              <w:rPr>
                <w:b/>
                <w:color w:val="FFFFFF"/>
                <w:sz w:val="17"/>
              </w:rPr>
              <w:t>Why it matters</w:t>
            </w:r>
          </w:p>
        </w:tc>
        <w:tc>
          <w:tcPr>
            <w:tcW w:type="dxa" w:w="4649"/>
            <w:shd w:fill="123047"/>
            <w:tcMar>
              <w:top w:w="100" w:type="dxa"/>
              <w:start w:w="120" w:type="dxa"/>
              <w:bottom w:w="100" w:type="dxa"/>
              <w:end w:w="120" w:type="dxa"/>
            </w:tcMar>
            <w:vAlign w:val="center"/>
          </w:tcPr>
          <w:p>
            <w:pPr>
              <w:jc w:val="left"/>
            </w:pPr>
            <w:r>
              <w:rPr>
                <w:b/>
                <w:color w:val="FFFFFF"/>
                <w:sz w:val="17"/>
              </w:rPr>
              <w:t>AirSentinel response</w:t>
            </w:r>
          </w:p>
        </w:tc>
      </w:tr>
      <w:tr>
        <w:trPr>
          <w:cantSplit/>
        </w:trPr>
        <w:tc>
          <w:tcPr>
            <w:tcW w:type="dxa" w:w="1361"/>
            <w:tcMar>
              <w:top w:w="100" w:type="dxa"/>
              <w:start w:w="120" w:type="dxa"/>
              <w:bottom w:w="100" w:type="dxa"/>
              <w:end w:w="120" w:type="dxa"/>
            </w:tcMar>
            <w:vAlign w:val="top"/>
          </w:tcPr>
          <w:p>
            <w:pPr>
              <w:spacing w:after="0"/>
            </w:pPr>
            <w:r>
              <w:rPr>
                <w:color w:val="123047"/>
                <w:sz w:val="17"/>
              </w:rPr>
              <w:t>Scale</w:t>
            </w:r>
          </w:p>
        </w:tc>
        <w:tc>
          <w:tcPr>
            <w:tcW w:type="dxa" w:w="3402"/>
            <w:tcMar>
              <w:top w:w="100" w:type="dxa"/>
              <w:start w:w="120" w:type="dxa"/>
              <w:bottom w:w="100" w:type="dxa"/>
              <w:end w:w="120" w:type="dxa"/>
            </w:tcMar>
            <w:vAlign w:val="top"/>
          </w:tcPr>
          <w:p>
            <w:pPr>
              <w:spacing w:after="0"/>
            </w:pPr>
            <w:r>
              <w:rPr>
                <w:color w:val="123047"/>
                <w:sz w:val="17"/>
              </w:rPr>
              <w:t>A city value can hide local events.</w:t>
            </w:r>
          </w:p>
        </w:tc>
        <w:tc>
          <w:tcPr>
            <w:tcW w:type="dxa" w:w="4649"/>
            <w:tcMar>
              <w:top w:w="100" w:type="dxa"/>
              <w:start w:w="120" w:type="dxa"/>
              <w:bottom w:w="100" w:type="dxa"/>
              <w:end w:w="120" w:type="dxa"/>
            </w:tcMar>
            <w:vAlign w:val="top"/>
          </w:tcPr>
          <w:p>
            <w:pPr>
              <w:spacing w:after="0"/>
            </w:pPr>
            <w:r>
              <w:rPr>
                <w:color w:val="123047"/>
                <w:sz w:val="17"/>
              </w:rPr>
              <w:t>Separate locality anchors/geometries and evidence gates.</w:t>
            </w:r>
          </w:p>
        </w:tc>
      </w:tr>
      <w:tr>
        <w:trPr>
          <w:cantSplit/>
        </w:trPr>
        <w:tc>
          <w:tcPr>
            <w:tcW w:type="dxa" w:w="1361"/>
            <w:shd w:fill="F2F4F7"/>
            <w:tcMar>
              <w:top w:w="100" w:type="dxa"/>
              <w:start w:w="120" w:type="dxa"/>
              <w:bottom w:w="100" w:type="dxa"/>
              <w:end w:w="120" w:type="dxa"/>
            </w:tcMar>
            <w:vAlign w:val="top"/>
          </w:tcPr>
          <w:p>
            <w:pPr>
              <w:spacing w:after="0"/>
            </w:pPr>
            <w:r>
              <w:rPr>
                <w:color w:val="123047"/>
                <w:sz w:val="17"/>
              </w:rPr>
              <w:t>Coverage</w:t>
            </w:r>
          </w:p>
        </w:tc>
        <w:tc>
          <w:tcPr>
            <w:tcW w:type="dxa" w:w="3402"/>
            <w:shd w:fill="F2F4F7"/>
            <w:tcMar>
              <w:top w:w="100" w:type="dxa"/>
              <w:start w:w="120" w:type="dxa"/>
              <w:bottom w:w="100" w:type="dxa"/>
              <w:end w:w="120" w:type="dxa"/>
            </w:tcMar>
            <w:vAlign w:val="top"/>
          </w:tcPr>
          <w:p>
            <w:pPr>
              <w:spacing w:after="0"/>
            </w:pPr>
            <w:r>
              <w:rPr>
                <w:color w:val="123047"/>
                <w:sz w:val="17"/>
              </w:rPr>
              <w:t>Sparse or stale stations create false precision.</w:t>
            </w:r>
          </w:p>
        </w:tc>
        <w:tc>
          <w:tcPr>
            <w:tcW w:type="dxa" w:w="4649"/>
            <w:shd w:fill="F2F4F7"/>
            <w:tcMar>
              <w:top w:w="100" w:type="dxa"/>
              <w:start w:w="120" w:type="dxa"/>
              <w:bottom w:w="100" w:type="dxa"/>
              <w:end w:w="120" w:type="dxa"/>
            </w:tcMar>
            <w:vAlign w:val="top"/>
          </w:tcPr>
          <w:p>
            <w:pPr>
              <w:spacing w:after="0"/>
            </w:pPr>
            <w:r>
              <w:rPr>
                <w:color w:val="123047"/>
                <w:sz w:val="17"/>
              </w:rPr>
              <w:t>Show evidence gaps, station provenance, distance and completeness.</w:t>
            </w:r>
          </w:p>
        </w:tc>
      </w:tr>
      <w:tr>
        <w:trPr>
          <w:cantSplit/>
        </w:trPr>
        <w:tc>
          <w:tcPr>
            <w:tcW w:type="dxa" w:w="1361"/>
            <w:tcMar>
              <w:top w:w="100" w:type="dxa"/>
              <w:start w:w="120" w:type="dxa"/>
              <w:bottom w:w="100" w:type="dxa"/>
              <w:end w:w="120" w:type="dxa"/>
            </w:tcMar>
            <w:vAlign w:val="top"/>
          </w:tcPr>
          <w:p>
            <w:pPr>
              <w:spacing w:after="0"/>
            </w:pPr>
            <w:r>
              <w:rPr>
                <w:color w:val="123047"/>
                <w:sz w:val="17"/>
              </w:rPr>
              <w:t>Forecast failure</w:t>
            </w:r>
          </w:p>
        </w:tc>
        <w:tc>
          <w:tcPr>
            <w:tcW w:type="dxa" w:w="3402"/>
            <w:tcMar>
              <w:top w:w="100" w:type="dxa"/>
              <w:start w:w="120" w:type="dxa"/>
              <w:bottom w:w="100" w:type="dxa"/>
              <w:end w:w="120" w:type="dxa"/>
            </w:tcMar>
            <w:vAlign w:val="top"/>
          </w:tcPr>
          <w:p>
            <w:pPr>
              <w:spacing w:after="0"/>
            </w:pPr>
            <w:r>
              <w:rPr>
                <w:color w:val="123047"/>
                <w:sz w:val="17"/>
              </w:rPr>
              <w:t>A sudden event may lie outside the expected range.</w:t>
            </w:r>
          </w:p>
        </w:tc>
        <w:tc>
          <w:tcPr>
            <w:tcW w:type="dxa" w:w="4649"/>
            <w:tcMar>
              <w:top w:w="100" w:type="dxa"/>
              <w:start w:w="120" w:type="dxa"/>
              <w:bottom w:w="100" w:type="dxa"/>
              <w:end w:w="120" w:type="dxa"/>
            </w:tcMar>
            <w:vAlign w:val="top"/>
          </w:tcPr>
          <w:p>
            <w:pPr>
              <w:spacing w:after="0"/>
            </w:pPr>
            <w:r>
              <w:rPr>
                <w:color w:val="123047"/>
                <w:sz w:val="17"/>
              </w:rPr>
              <w:t>Create a cause-unverified review case and seek corroboration.</w:t>
            </w:r>
          </w:p>
        </w:tc>
      </w:tr>
      <w:tr>
        <w:trPr>
          <w:cantSplit/>
        </w:trPr>
        <w:tc>
          <w:tcPr>
            <w:tcW w:type="dxa" w:w="1361"/>
            <w:shd w:fill="F2F4F7"/>
            <w:tcMar>
              <w:top w:w="100" w:type="dxa"/>
              <w:start w:w="120" w:type="dxa"/>
              <w:bottom w:w="100" w:type="dxa"/>
              <w:end w:w="120" w:type="dxa"/>
            </w:tcMar>
            <w:vAlign w:val="top"/>
          </w:tcPr>
          <w:p>
            <w:pPr>
              <w:spacing w:after="0"/>
            </w:pPr>
            <w:r>
              <w:rPr>
                <w:color w:val="123047"/>
                <w:sz w:val="17"/>
              </w:rPr>
              <w:t>Coordination</w:t>
            </w:r>
          </w:p>
        </w:tc>
        <w:tc>
          <w:tcPr>
            <w:tcW w:type="dxa" w:w="3402"/>
            <w:shd w:fill="F2F4F7"/>
            <w:tcMar>
              <w:top w:w="100" w:type="dxa"/>
              <w:start w:w="120" w:type="dxa"/>
              <w:bottom w:w="100" w:type="dxa"/>
              <w:end w:w="120" w:type="dxa"/>
            </w:tcMar>
            <w:vAlign w:val="top"/>
          </w:tcPr>
          <w:p>
            <w:pPr>
              <w:spacing w:after="0"/>
            </w:pPr>
            <w:r>
              <w:rPr>
                <w:color w:val="123047"/>
                <w:sz w:val="17"/>
              </w:rPr>
              <w:t>Station, weather, satellite and citizen data use different trust levels.</w:t>
            </w:r>
          </w:p>
        </w:tc>
        <w:tc>
          <w:tcPr>
            <w:tcW w:type="dxa" w:w="4649"/>
            <w:shd w:fill="F2F4F7"/>
            <w:tcMar>
              <w:top w:w="100" w:type="dxa"/>
              <w:start w:w="120" w:type="dxa"/>
              <w:bottom w:w="100" w:type="dxa"/>
              <w:end w:w="120" w:type="dxa"/>
            </w:tcMar>
            <w:vAlign w:val="top"/>
          </w:tcPr>
          <w:p>
            <w:pPr>
              <w:spacing w:after="0"/>
            </w:pPr>
            <w:r>
              <w:rPr>
                <w:color w:val="123047"/>
                <w:sz w:val="17"/>
              </w:rPr>
              <w:t>Canonical records, contextual labels, identity and audit.</w:t>
            </w:r>
          </w:p>
        </w:tc>
      </w:tr>
    </w:tbl>
    <w:p>
      <w:pPr>
        <w:spacing w:after="20"/>
      </w:pPr>
    </w:p>
    <w:p>
      <w:r>
        <w:drawing>
          <wp:inline xmlns:a="http://schemas.openxmlformats.org/drawingml/2006/main" xmlns:pic="http://schemas.openxmlformats.org/drawingml/2006/picture">
            <wp:extent cx="6309360" cy="2313432"/>
            <wp:docPr id="1" name="Picture 1"/>
            <wp:cNvGraphicFramePr>
              <a:graphicFrameLocks noChangeAspect="1"/>
            </wp:cNvGraphicFramePr>
            <a:graphic>
              <a:graphicData uri="http://schemas.openxmlformats.org/drawingml/2006/picture">
                <pic:pic>
                  <pic:nvPicPr>
                    <pic:cNvPr id="0" name="final_evidence_to_action.png"/>
                    <pic:cNvPicPr/>
                  </pic:nvPicPr>
                  <pic:blipFill>
                    <a:blip r:embed="rId11"/>
                    <a:stretch>
                      <a:fillRect/>
                    </a:stretch>
                  </pic:blipFill>
                  <pic:spPr>
                    <a:xfrm>
                      <a:off x="0" y="0"/>
                      <a:ext cx="6309360" cy="2313432"/>
                    </a:xfrm>
                    <a:prstGeom prst="rect"/>
                  </pic:spPr>
                </pic:pic>
              </a:graphicData>
            </a:graphic>
          </wp:inline>
        </w:drawing>
      </w:r>
    </w:p>
    <w:p>
      <w:pPr>
        <w:pStyle w:val="CaptionSmall"/>
        <w:jc w:val="center"/>
      </w:pPr>
      <w:r>
        <w:t>Figure 1. Evidence is gated before forecasting; a sudden mismatch ends in human review, not automated blame.</w:t>
      </w:r>
    </w:p>
    <w:p>
      <w:pPr>
        <w:pStyle w:val="Heading1"/>
      </w:pPr>
      <w:r>
        <w:t>2. Data improvement and trust</w:t>
      </w:r>
    </w:p>
    <w:p>
      <w:r>
        <w:t>The historical collector now supports date chunks, pagination, retries, active-sensor probes, two working sensors per locality/pollutant, deduplication and safe merging. It preserves source-system labels so a coverage gate cannot silently upgrade a fallback into an official source.</w:t>
      </w:r>
    </w:p>
    <w:tbl>
      <w:tblPr>
        <w:tblStyle w:val="TableGrid"/>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2154"/>
            <w:shd w:fill="123047"/>
            <w:tcMar>
              <w:top w:w="100" w:type="dxa"/>
              <w:start w:w="120" w:type="dxa"/>
              <w:bottom w:w="100" w:type="dxa"/>
              <w:end w:w="120" w:type="dxa"/>
            </w:tcMar>
            <w:vAlign w:val="center"/>
          </w:tcPr>
          <w:p>
            <w:pPr>
              <w:jc w:val="left"/>
            </w:pPr>
            <w:r>
              <w:rPr>
                <w:b/>
                <w:color w:val="FFFFFF"/>
                <w:sz w:val="17"/>
              </w:rPr>
              <w:t>Locality</w:t>
            </w:r>
          </w:p>
        </w:tc>
        <w:tc>
          <w:tcPr>
            <w:tcW w:type="dxa" w:w="1077"/>
            <w:shd w:fill="123047"/>
            <w:tcMar>
              <w:top w:w="100" w:type="dxa"/>
              <w:start w:w="120" w:type="dxa"/>
              <w:bottom w:w="100" w:type="dxa"/>
              <w:end w:w="120" w:type="dxa"/>
            </w:tcMar>
            <w:vAlign w:val="center"/>
          </w:tcPr>
          <w:p>
            <w:pPr>
              <w:jc w:val="left"/>
            </w:pPr>
            <w:r>
              <w:rPr>
                <w:b/>
                <w:color w:val="FFFFFF"/>
                <w:sz w:val="17"/>
              </w:rPr>
              <w:t>PM2.5 rows</w:t>
            </w:r>
          </w:p>
        </w:tc>
        <w:tc>
          <w:tcPr>
            <w:tcW w:type="dxa" w:w="1077"/>
            <w:shd w:fill="123047"/>
            <w:tcMar>
              <w:top w:w="100" w:type="dxa"/>
              <w:start w:w="120" w:type="dxa"/>
              <w:bottom w:w="100" w:type="dxa"/>
              <w:end w:w="120" w:type="dxa"/>
            </w:tcMar>
            <w:vAlign w:val="center"/>
          </w:tcPr>
          <w:p>
            <w:pPr>
              <w:jc w:val="left"/>
            </w:pPr>
            <w:r>
              <w:rPr>
                <w:b/>
                <w:color w:val="FFFFFF"/>
                <w:sz w:val="17"/>
              </w:rPr>
              <w:t>Span</w:t>
            </w:r>
          </w:p>
        </w:tc>
        <w:tc>
          <w:tcPr>
            <w:tcW w:type="dxa" w:w="1417"/>
            <w:shd w:fill="123047"/>
            <w:tcMar>
              <w:top w:w="100" w:type="dxa"/>
              <w:start w:w="120" w:type="dxa"/>
              <w:bottom w:w="100" w:type="dxa"/>
              <w:end w:w="120" w:type="dxa"/>
            </w:tcMar>
            <w:vAlign w:val="center"/>
          </w:tcPr>
          <w:p>
            <w:pPr>
              <w:jc w:val="left"/>
            </w:pPr>
            <w:r>
              <w:rPr>
                <w:b/>
                <w:color w:val="FFFFFF"/>
                <w:sz w:val="17"/>
              </w:rPr>
              <w:t>Completeness</w:t>
            </w:r>
          </w:p>
        </w:tc>
        <w:tc>
          <w:tcPr>
            <w:tcW w:type="dxa" w:w="964"/>
            <w:shd w:fill="123047"/>
            <w:tcMar>
              <w:top w:w="100" w:type="dxa"/>
              <w:start w:w="120" w:type="dxa"/>
              <w:bottom w:w="100" w:type="dxa"/>
              <w:end w:w="120" w:type="dxa"/>
            </w:tcMar>
            <w:vAlign w:val="center"/>
          </w:tcPr>
          <w:p>
            <w:pPr>
              <w:jc w:val="left"/>
            </w:pPr>
            <w:r>
              <w:rPr>
                <w:b/>
                <w:color w:val="FFFFFF"/>
                <w:sz w:val="17"/>
              </w:rPr>
              <w:t>Stations</w:t>
            </w:r>
          </w:p>
        </w:tc>
        <w:tc>
          <w:tcPr>
            <w:tcW w:type="dxa" w:w="2835"/>
            <w:shd w:fill="123047"/>
            <w:tcMar>
              <w:top w:w="100" w:type="dxa"/>
              <w:start w:w="120" w:type="dxa"/>
              <w:bottom w:w="100" w:type="dxa"/>
              <w:end w:w="120" w:type="dxa"/>
            </w:tcMar>
            <w:vAlign w:val="center"/>
          </w:tcPr>
          <w:p>
            <w:pPr>
              <w:jc w:val="left"/>
            </w:pPr>
            <w:r>
              <w:rPr>
                <w:b/>
                <w:color w:val="FFFFFF"/>
                <w:sz w:val="17"/>
              </w:rPr>
              <w:t>Pollutants</w:t>
            </w:r>
          </w:p>
        </w:tc>
      </w:tr>
      <w:tr>
        <w:trPr>
          <w:cantSplit/>
        </w:trPr>
        <w:tc>
          <w:tcPr>
            <w:tcW w:type="dxa" w:w="2154"/>
            <w:tcMar>
              <w:top w:w="100" w:type="dxa"/>
              <w:start w:w="120" w:type="dxa"/>
              <w:bottom w:w="100" w:type="dxa"/>
              <w:end w:w="120" w:type="dxa"/>
            </w:tcMar>
            <w:vAlign w:val="top"/>
          </w:tcPr>
          <w:p>
            <w:pPr>
              <w:spacing w:after="0"/>
            </w:pPr>
            <w:r>
              <w:rPr>
                <w:color w:val="123047"/>
                <w:sz w:val="17"/>
              </w:rPr>
              <w:t>Najafgarh pilot area</w:t>
            </w:r>
          </w:p>
        </w:tc>
        <w:tc>
          <w:tcPr>
            <w:tcW w:type="dxa" w:w="1077"/>
            <w:tcMar>
              <w:top w:w="100" w:type="dxa"/>
              <w:start w:w="120" w:type="dxa"/>
              <w:bottom w:w="100" w:type="dxa"/>
              <w:end w:w="120" w:type="dxa"/>
            </w:tcMar>
            <w:vAlign w:val="top"/>
          </w:tcPr>
          <w:p>
            <w:pPr>
              <w:spacing w:after="0"/>
            </w:pPr>
            <w:r>
              <w:rPr>
                <w:color w:val="123047"/>
                <w:sz w:val="17"/>
              </w:rPr>
              <w:t>7,516</w:t>
            </w:r>
          </w:p>
        </w:tc>
        <w:tc>
          <w:tcPr>
            <w:tcW w:type="dxa" w:w="1077"/>
            <w:tcMar>
              <w:top w:w="100" w:type="dxa"/>
              <w:start w:w="120" w:type="dxa"/>
              <w:bottom w:w="100" w:type="dxa"/>
              <w:end w:w="120" w:type="dxa"/>
            </w:tcMar>
            <w:vAlign w:val="top"/>
          </w:tcPr>
          <w:p>
            <w:pPr>
              <w:spacing w:after="0"/>
            </w:pPr>
            <w:r>
              <w:rPr>
                <w:color w:val="123047"/>
                <w:sz w:val="17"/>
              </w:rPr>
              <w:t>181.9 days</w:t>
            </w:r>
          </w:p>
        </w:tc>
        <w:tc>
          <w:tcPr>
            <w:tcW w:type="dxa" w:w="1417"/>
            <w:tcMar>
              <w:top w:w="100" w:type="dxa"/>
              <w:start w:w="120" w:type="dxa"/>
              <w:bottom w:w="100" w:type="dxa"/>
              <w:end w:w="120" w:type="dxa"/>
            </w:tcMar>
            <w:vAlign w:val="top"/>
          </w:tcPr>
          <w:p>
            <w:pPr>
              <w:spacing w:after="0"/>
            </w:pPr>
            <w:r>
              <w:rPr>
                <w:color w:val="123047"/>
                <w:sz w:val="17"/>
              </w:rPr>
              <w:t>86.1%</w:t>
            </w:r>
          </w:p>
        </w:tc>
        <w:tc>
          <w:tcPr>
            <w:tcW w:type="dxa" w:w="964"/>
            <w:tcMar>
              <w:top w:w="100" w:type="dxa"/>
              <w:start w:w="120" w:type="dxa"/>
              <w:bottom w:w="100" w:type="dxa"/>
              <w:end w:w="120" w:type="dxa"/>
            </w:tcMar>
            <w:vAlign w:val="top"/>
          </w:tcPr>
          <w:p>
            <w:pPr>
              <w:spacing w:after="0"/>
            </w:pPr>
            <w:r>
              <w:rPr>
                <w:color w:val="123047"/>
                <w:sz w:val="17"/>
              </w:rPr>
              <w:t>2</w:t>
            </w:r>
          </w:p>
        </w:tc>
        <w:tc>
          <w:tcPr>
            <w:tcW w:type="dxa" w:w="2835"/>
            <w:tcMar>
              <w:top w:w="100" w:type="dxa"/>
              <w:start w:w="120" w:type="dxa"/>
              <w:bottom w:w="100" w:type="dxa"/>
              <w:end w:w="120" w:type="dxa"/>
            </w:tcMar>
            <w:vAlign w:val="top"/>
          </w:tcPr>
          <w:p>
            <w:pPr>
              <w:spacing w:after="0"/>
            </w:pPr>
            <w:r>
              <w:rPr>
                <w:color w:val="123047"/>
                <w:sz w:val="17"/>
              </w:rPr>
              <w:t>PM2.5, PM10, NO2, O3, SO2, CO</w:t>
            </w:r>
          </w:p>
        </w:tc>
      </w:tr>
      <w:tr>
        <w:trPr>
          <w:cantSplit/>
        </w:trPr>
        <w:tc>
          <w:tcPr>
            <w:tcW w:type="dxa" w:w="2154"/>
            <w:shd w:fill="F2F4F7"/>
            <w:tcMar>
              <w:top w:w="100" w:type="dxa"/>
              <w:start w:w="120" w:type="dxa"/>
              <w:bottom w:w="100" w:type="dxa"/>
              <w:end w:w="120" w:type="dxa"/>
            </w:tcMar>
            <w:vAlign w:val="top"/>
          </w:tcPr>
          <w:p>
            <w:pPr>
              <w:spacing w:after="0"/>
            </w:pPr>
            <w:r>
              <w:rPr>
                <w:color w:val="123047"/>
                <w:sz w:val="17"/>
              </w:rPr>
              <w:t>Safdarjung Enclave pilot area</w:t>
            </w:r>
          </w:p>
        </w:tc>
        <w:tc>
          <w:tcPr>
            <w:tcW w:type="dxa" w:w="1077"/>
            <w:shd w:fill="F2F4F7"/>
            <w:tcMar>
              <w:top w:w="100" w:type="dxa"/>
              <w:start w:w="120" w:type="dxa"/>
              <w:bottom w:w="100" w:type="dxa"/>
              <w:end w:w="120" w:type="dxa"/>
            </w:tcMar>
            <w:vAlign w:val="top"/>
          </w:tcPr>
          <w:p>
            <w:pPr>
              <w:spacing w:after="0"/>
            </w:pPr>
            <w:r>
              <w:rPr>
                <w:color w:val="123047"/>
                <w:sz w:val="17"/>
              </w:rPr>
              <w:t>7,889</w:t>
            </w:r>
          </w:p>
        </w:tc>
        <w:tc>
          <w:tcPr>
            <w:tcW w:type="dxa" w:w="1077"/>
            <w:shd w:fill="F2F4F7"/>
            <w:tcMar>
              <w:top w:w="100" w:type="dxa"/>
              <w:start w:w="120" w:type="dxa"/>
              <w:bottom w:w="100" w:type="dxa"/>
              <w:end w:w="120" w:type="dxa"/>
            </w:tcMar>
            <w:vAlign w:val="top"/>
          </w:tcPr>
          <w:p>
            <w:pPr>
              <w:spacing w:after="0"/>
            </w:pPr>
            <w:r>
              <w:rPr>
                <w:color w:val="123047"/>
                <w:sz w:val="17"/>
              </w:rPr>
              <w:t>181.9 days</w:t>
            </w:r>
          </w:p>
        </w:tc>
        <w:tc>
          <w:tcPr>
            <w:tcW w:type="dxa" w:w="1417"/>
            <w:shd w:fill="F2F4F7"/>
            <w:tcMar>
              <w:top w:w="100" w:type="dxa"/>
              <w:start w:w="120" w:type="dxa"/>
              <w:bottom w:w="100" w:type="dxa"/>
              <w:end w:w="120" w:type="dxa"/>
            </w:tcMar>
            <w:vAlign w:val="top"/>
          </w:tcPr>
          <w:p>
            <w:pPr>
              <w:spacing w:after="0"/>
            </w:pPr>
            <w:r>
              <w:rPr>
                <w:color w:val="123047"/>
                <w:sz w:val="17"/>
              </w:rPr>
              <w:t>90.4%</w:t>
            </w:r>
          </w:p>
        </w:tc>
        <w:tc>
          <w:tcPr>
            <w:tcW w:type="dxa" w:w="964"/>
            <w:shd w:fill="F2F4F7"/>
            <w:tcMar>
              <w:top w:w="100" w:type="dxa"/>
              <w:start w:w="120" w:type="dxa"/>
              <w:bottom w:w="100" w:type="dxa"/>
              <w:end w:w="120" w:type="dxa"/>
            </w:tcMar>
            <w:vAlign w:val="top"/>
          </w:tcPr>
          <w:p>
            <w:pPr>
              <w:spacing w:after="0"/>
            </w:pPr>
            <w:r>
              <w:rPr>
                <w:color w:val="123047"/>
                <w:sz w:val="17"/>
              </w:rPr>
              <w:t>2</w:t>
            </w:r>
          </w:p>
        </w:tc>
        <w:tc>
          <w:tcPr>
            <w:tcW w:type="dxa" w:w="2835"/>
            <w:shd w:fill="F2F4F7"/>
            <w:tcMar>
              <w:top w:w="100" w:type="dxa"/>
              <w:start w:w="120" w:type="dxa"/>
              <w:bottom w:w="100" w:type="dxa"/>
              <w:end w:w="120" w:type="dxa"/>
            </w:tcMar>
            <w:vAlign w:val="top"/>
          </w:tcPr>
          <w:p>
            <w:pPr>
              <w:spacing w:after="0"/>
            </w:pPr>
            <w:r>
              <w:rPr>
                <w:color w:val="123047"/>
                <w:sz w:val="17"/>
              </w:rPr>
              <w:t>PM2.5, PM10, NO2, O3, SO2, CO</w:t>
            </w:r>
          </w:p>
        </w:tc>
      </w:tr>
    </w:tbl>
    <w:p>
      <w:pPr>
        <w:spacing w:after="20"/>
      </w:pPr>
    </w:p>
    <w:tbl>
      <w:tblPr>
        <w:tblW w:type="auto" w:w="0"/>
        <w:jc w:val="center"/>
        <w:tblLook w:firstColumn="1" w:firstRow="1" w:lastColumn="0" w:lastRow="0" w:noHBand="0" w:noVBand="1" w:val="04A0"/>
      </w:tblPr>
      <w:tblGrid>
        <w:gridCol w:w="10142"/>
      </w:tblGrid>
      <w:tr>
        <w:tc>
          <w:tcPr>
            <w:tcW w:type="dxa" w:w="10142"/>
            <w:shd w:fill="EAF0F8"/>
            <w:tcMar>
              <w:top w:w="130" w:type="dxa"/>
              <w:start w:w="170" w:type="dxa"/>
              <w:bottom w:w="130" w:type="dxa"/>
              <w:end w:w="170" w:type="dxa"/>
            </w:tcMar>
          </w:tcPr>
          <w:p>
            <w:pPr>
              <w:spacing w:after="40"/>
            </w:pPr>
            <w:r>
              <w:rPr>
                <w:b/>
                <w:color w:val="123047"/>
                <w:sz w:val="22"/>
              </w:rPr>
              <w:t>Evidence gate passed—not operational promotion</w:t>
            </w:r>
          </w:p>
          <w:p>
            <w:pPr>
              <w:spacing w:after="0"/>
            </w:pPr>
            <w:r>
              <w:t>Both localities now support a controlled conventional baseline comparison. They still need approved geometry, station mapping, calibration/uptime context, weather alignment and fresh chronological evaluation before operational use.</w:t>
            </w:r>
          </w:p>
        </w:tc>
      </w:tr>
    </w:tbl>
    <w:p>
      <w:pPr>
        <w:spacing w:after="20"/>
      </w:pPr>
    </w:p>
    <w:p>
      <w:pPr>
        <w:pStyle w:val="Heading2"/>
      </w:pPr>
      <w:r>
        <w:t>Source hierarchy and alternatives</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134"/>
            <w:shd w:fill="123047"/>
            <w:tcMar>
              <w:top w:w="100" w:type="dxa"/>
              <w:start w:w="120" w:type="dxa"/>
              <w:bottom w:w="100" w:type="dxa"/>
              <w:end w:w="120" w:type="dxa"/>
            </w:tcMar>
            <w:vAlign w:val="center"/>
          </w:tcPr>
          <w:p>
            <w:pPr>
              <w:jc w:val="left"/>
            </w:pPr>
            <w:r>
              <w:rPr>
                <w:b/>
                <w:color w:val="FFFFFF"/>
                <w:sz w:val="17"/>
              </w:rPr>
              <w:t>Priority</w:t>
            </w:r>
          </w:p>
        </w:tc>
        <w:tc>
          <w:tcPr>
            <w:tcW w:type="dxa" w:w="2268"/>
            <w:shd w:fill="123047"/>
            <w:tcMar>
              <w:top w:w="100" w:type="dxa"/>
              <w:start w:w="120" w:type="dxa"/>
              <w:bottom w:w="100" w:type="dxa"/>
              <w:end w:w="120" w:type="dxa"/>
            </w:tcMar>
            <w:vAlign w:val="center"/>
          </w:tcPr>
          <w:p>
            <w:pPr>
              <w:jc w:val="left"/>
            </w:pPr>
            <w:r>
              <w:rPr>
                <w:b/>
                <w:color w:val="FFFFFF"/>
                <w:sz w:val="17"/>
              </w:rPr>
              <w:t>Source</w:t>
            </w:r>
          </w:p>
        </w:tc>
        <w:tc>
          <w:tcPr>
            <w:tcW w:type="dxa" w:w="2721"/>
            <w:shd w:fill="123047"/>
            <w:tcMar>
              <w:top w:w="100" w:type="dxa"/>
              <w:start w:w="120" w:type="dxa"/>
              <w:bottom w:w="100" w:type="dxa"/>
              <w:end w:w="120" w:type="dxa"/>
            </w:tcMar>
            <w:vAlign w:val="center"/>
          </w:tcPr>
          <w:p>
            <w:pPr>
              <w:jc w:val="left"/>
            </w:pPr>
            <w:r>
              <w:rPr>
                <w:b/>
                <w:color w:val="FFFFFF"/>
                <w:sz w:val="17"/>
              </w:rPr>
              <w:t>Use</w:t>
            </w:r>
          </w:p>
        </w:tc>
        <w:tc>
          <w:tcPr>
            <w:tcW w:type="dxa" w:w="3345"/>
            <w:shd w:fill="123047"/>
            <w:tcMar>
              <w:top w:w="100" w:type="dxa"/>
              <w:start w:w="120" w:type="dxa"/>
              <w:bottom w:w="100" w:type="dxa"/>
              <w:end w:w="120" w:type="dxa"/>
            </w:tcMar>
            <w:vAlign w:val="center"/>
          </w:tcPr>
          <w:p>
            <w:pPr>
              <w:jc w:val="left"/>
            </w:pPr>
            <w:r>
              <w:rPr>
                <w:b/>
                <w:color w:val="FFFFFF"/>
                <w:sz w:val="17"/>
              </w:rPr>
              <w:t>Limit</w:t>
            </w:r>
          </w:p>
        </w:tc>
      </w:tr>
      <w:tr>
        <w:trPr>
          <w:cantSplit/>
        </w:trPr>
        <w:tc>
          <w:tcPr>
            <w:tcW w:type="dxa" w:w="1134"/>
            <w:tcMar>
              <w:top w:w="100" w:type="dxa"/>
              <w:start w:w="120" w:type="dxa"/>
              <w:bottom w:w="100" w:type="dxa"/>
              <w:end w:w="120" w:type="dxa"/>
            </w:tcMar>
            <w:vAlign w:val="top"/>
          </w:tcPr>
          <w:p>
            <w:pPr>
              <w:spacing w:after="0"/>
            </w:pPr>
            <w:r>
              <w:rPr>
                <w:color w:val="123047"/>
                <w:sz w:val="17"/>
              </w:rPr>
              <w:t>1</w:t>
            </w:r>
          </w:p>
        </w:tc>
        <w:tc>
          <w:tcPr>
            <w:tcW w:type="dxa" w:w="2268"/>
            <w:tcMar>
              <w:top w:w="100" w:type="dxa"/>
              <w:start w:w="120" w:type="dxa"/>
              <w:bottom w:w="100" w:type="dxa"/>
              <w:end w:w="120" w:type="dxa"/>
            </w:tcMar>
            <w:vAlign w:val="top"/>
          </w:tcPr>
          <w:p>
            <w:pPr>
              <w:spacing w:after="0"/>
            </w:pPr>
            <w:r>
              <w:rPr>
                <w:color w:val="123047"/>
                <w:sz w:val="17"/>
              </w:rPr>
              <w:t>CPCB/data.gov.in current catalogue</w:t>
            </w:r>
          </w:p>
        </w:tc>
        <w:tc>
          <w:tcPr>
            <w:tcW w:type="dxa" w:w="2721"/>
            <w:tcMar>
              <w:top w:w="100" w:type="dxa"/>
              <w:start w:w="120" w:type="dxa"/>
              <w:bottom w:w="100" w:type="dxa"/>
              <w:end w:w="120" w:type="dxa"/>
            </w:tcMar>
            <w:vAlign w:val="top"/>
          </w:tcPr>
          <w:p>
            <w:pPr>
              <w:spacing w:after="0"/>
            </w:pPr>
            <w:r>
              <w:rPr>
                <w:color w:val="123047"/>
                <w:sz w:val="17"/>
              </w:rPr>
              <w:t>Preferred official Indian current observations</w:t>
            </w:r>
          </w:p>
        </w:tc>
        <w:tc>
          <w:tcPr>
            <w:tcW w:type="dxa" w:w="3345"/>
            <w:tcMar>
              <w:top w:w="100" w:type="dxa"/>
              <w:start w:w="120" w:type="dxa"/>
              <w:bottom w:w="100" w:type="dxa"/>
              <w:end w:w="120" w:type="dxa"/>
            </w:tcMar>
            <w:vAlign w:val="top"/>
          </w:tcPr>
          <w:p>
            <w:pPr>
              <w:spacing w:after="0"/>
            </w:pPr>
            <w:r>
              <w:rPr>
                <w:color w:val="123047"/>
                <w:sz w:val="17"/>
              </w:rPr>
              <w:t>Authorised key/configuration required; current data is not a guaranteed historical archive.</w:t>
            </w:r>
          </w:p>
        </w:tc>
      </w:tr>
      <w:tr>
        <w:trPr>
          <w:cantSplit/>
        </w:trPr>
        <w:tc>
          <w:tcPr>
            <w:tcW w:type="dxa" w:w="1134"/>
            <w:shd w:fill="F2F4F7"/>
            <w:tcMar>
              <w:top w:w="100" w:type="dxa"/>
              <w:start w:w="120" w:type="dxa"/>
              <w:bottom w:w="100" w:type="dxa"/>
              <w:end w:w="120" w:type="dxa"/>
            </w:tcMar>
            <w:vAlign w:val="top"/>
          </w:tcPr>
          <w:p>
            <w:pPr>
              <w:spacing w:after="0"/>
            </w:pPr>
            <w:r>
              <w:rPr>
                <w:color w:val="123047"/>
                <w:sz w:val="17"/>
              </w:rPr>
              <w:t>2</w:t>
            </w:r>
          </w:p>
        </w:tc>
        <w:tc>
          <w:tcPr>
            <w:tcW w:type="dxa" w:w="2268"/>
            <w:shd w:fill="F2F4F7"/>
            <w:tcMar>
              <w:top w:w="100" w:type="dxa"/>
              <w:start w:w="120" w:type="dxa"/>
              <w:bottom w:w="100" w:type="dxa"/>
              <w:end w:w="120" w:type="dxa"/>
            </w:tcMar>
            <w:vAlign w:val="top"/>
          </w:tcPr>
          <w:p>
            <w:pPr>
              <w:spacing w:after="0"/>
            </w:pPr>
            <w:r>
              <w:rPr>
                <w:color w:val="123047"/>
                <w:sz w:val="17"/>
              </w:rPr>
              <w:t>CPCB/SPCB/PCC approved export</w:t>
            </w:r>
          </w:p>
        </w:tc>
        <w:tc>
          <w:tcPr>
            <w:tcW w:type="dxa" w:w="2721"/>
            <w:shd w:fill="F2F4F7"/>
            <w:tcMar>
              <w:top w:w="100" w:type="dxa"/>
              <w:start w:w="120" w:type="dxa"/>
              <w:bottom w:w="100" w:type="dxa"/>
              <w:end w:w="120" w:type="dxa"/>
            </w:tcMar>
            <w:vAlign w:val="top"/>
          </w:tcPr>
          <w:p>
            <w:pPr>
              <w:spacing w:after="0"/>
            </w:pPr>
            <w:r>
              <w:rPr>
                <w:color w:val="123047"/>
                <w:sz w:val="17"/>
              </w:rPr>
              <w:t>Historical production evidence</w:t>
            </w:r>
          </w:p>
        </w:tc>
        <w:tc>
          <w:tcPr>
            <w:tcW w:type="dxa" w:w="3345"/>
            <w:shd w:fill="F2F4F7"/>
            <w:tcMar>
              <w:top w:w="100" w:type="dxa"/>
              <w:start w:w="120" w:type="dxa"/>
              <w:bottom w:w="100" w:type="dxa"/>
              <w:end w:w="120" w:type="dxa"/>
            </w:tcMar>
            <w:vAlign w:val="top"/>
          </w:tcPr>
          <w:p>
            <w:pPr>
              <w:spacing w:after="0"/>
            </w:pPr>
            <w:r>
              <w:rPr>
                <w:color w:val="123047"/>
                <w:sz w:val="17"/>
              </w:rPr>
              <w:t>Requires authority access, calibration and station metadata.</w:t>
            </w:r>
          </w:p>
        </w:tc>
      </w:tr>
      <w:tr>
        <w:trPr>
          <w:cantSplit/>
        </w:trPr>
        <w:tc>
          <w:tcPr>
            <w:tcW w:type="dxa" w:w="1134"/>
            <w:tcMar>
              <w:top w:w="100" w:type="dxa"/>
              <w:start w:w="120" w:type="dxa"/>
              <w:bottom w:w="100" w:type="dxa"/>
              <w:end w:w="120" w:type="dxa"/>
            </w:tcMar>
            <w:vAlign w:val="top"/>
          </w:tcPr>
          <w:p>
            <w:pPr>
              <w:spacing w:after="0"/>
            </w:pPr>
            <w:r>
              <w:rPr>
                <w:color w:val="123047"/>
                <w:sz w:val="17"/>
              </w:rPr>
              <w:t>Fallback</w:t>
            </w:r>
          </w:p>
        </w:tc>
        <w:tc>
          <w:tcPr>
            <w:tcW w:type="dxa" w:w="2268"/>
            <w:tcMar>
              <w:top w:w="100" w:type="dxa"/>
              <w:start w:w="120" w:type="dxa"/>
              <w:bottom w:w="100" w:type="dxa"/>
              <w:end w:w="120" w:type="dxa"/>
            </w:tcMar>
            <w:vAlign w:val="top"/>
          </w:tcPr>
          <w:p>
            <w:pPr>
              <w:spacing w:after="0"/>
            </w:pPr>
            <w:r>
              <w:rPr>
                <w:color w:val="123047"/>
                <w:sz w:val="17"/>
              </w:rPr>
              <w:t>OpenAQ</w:t>
            </w:r>
          </w:p>
        </w:tc>
        <w:tc>
          <w:tcPr>
            <w:tcW w:type="dxa" w:w="2721"/>
            <w:tcMar>
              <w:top w:w="100" w:type="dxa"/>
              <w:start w:w="120" w:type="dxa"/>
              <w:bottom w:w="100" w:type="dxa"/>
              <w:end w:w="120" w:type="dxa"/>
            </w:tcMar>
            <w:vAlign w:val="top"/>
          </w:tcPr>
          <w:p>
            <w:pPr>
              <w:spacing w:after="0"/>
            </w:pPr>
            <w:r>
              <w:rPr>
                <w:color w:val="123047"/>
                <w:sz w:val="17"/>
              </w:rPr>
              <w:t>Historical development and discovery</w:t>
            </w:r>
          </w:p>
        </w:tc>
        <w:tc>
          <w:tcPr>
            <w:tcW w:type="dxa" w:w="3345"/>
            <w:tcMar>
              <w:top w:w="100" w:type="dxa"/>
              <w:start w:w="120" w:type="dxa"/>
              <w:bottom w:w="100" w:type="dxa"/>
              <w:end w:w="120" w:type="dxa"/>
            </w:tcMar>
            <w:vAlign w:val="top"/>
          </w:tcPr>
          <w:p>
            <w:pPr>
              <w:spacing w:after="0"/>
            </w:pPr>
            <w:r>
              <w:rPr>
                <w:color w:val="123047"/>
                <w:sz w:val="17"/>
              </w:rPr>
              <w:t>Keep provider provenance and visible fallback label.</w:t>
            </w:r>
          </w:p>
        </w:tc>
      </w:tr>
      <w:tr>
        <w:trPr>
          <w:cantSplit/>
        </w:trPr>
        <w:tc>
          <w:tcPr>
            <w:tcW w:type="dxa" w:w="1134"/>
            <w:shd w:fill="F2F4F7"/>
            <w:tcMar>
              <w:top w:w="100" w:type="dxa"/>
              <w:start w:w="120" w:type="dxa"/>
              <w:bottom w:w="100" w:type="dxa"/>
              <w:end w:w="120" w:type="dxa"/>
            </w:tcMar>
            <w:vAlign w:val="top"/>
          </w:tcPr>
          <w:p>
            <w:pPr>
              <w:spacing w:after="0"/>
            </w:pPr>
            <w:r>
              <w:rPr>
                <w:color w:val="123047"/>
                <w:sz w:val="17"/>
              </w:rPr>
              <w:t>Context</w:t>
            </w:r>
          </w:p>
        </w:tc>
        <w:tc>
          <w:tcPr>
            <w:tcW w:type="dxa" w:w="2268"/>
            <w:shd w:fill="F2F4F7"/>
            <w:tcMar>
              <w:top w:w="100" w:type="dxa"/>
              <w:start w:w="120" w:type="dxa"/>
              <w:bottom w:w="100" w:type="dxa"/>
              <w:end w:w="120" w:type="dxa"/>
            </w:tcMar>
            <w:vAlign w:val="top"/>
          </w:tcPr>
          <w:p>
            <w:pPr>
              <w:spacing w:after="0"/>
            </w:pPr>
            <w:r>
              <w:rPr>
                <w:color w:val="123047"/>
                <w:sz w:val="17"/>
              </w:rPr>
              <w:t>Open-Meteo / Earth Engine / FIRMS</w:t>
            </w:r>
          </w:p>
        </w:tc>
        <w:tc>
          <w:tcPr>
            <w:tcW w:type="dxa" w:w="2721"/>
            <w:shd w:fill="F2F4F7"/>
            <w:tcMar>
              <w:top w:w="100" w:type="dxa"/>
              <w:start w:w="120" w:type="dxa"/>
              <w:bottom w:w="100" w:type="dxa"/>
              <w:end w:w="120" w:type="dxa"/>
            </w:tcMar>
            <w:vAlign w:val="top"/>
          </w:tcPr>
          <w:p>
            <w:pPr>
              <w:spacing w:after="0"/>
            </w:pPr>
            <w:r>
              <w:rPr>
                <w:color w:val="123047"/>
                <w:sz w:val="17"/>
              </w:rPr>
              <w:t>Weather, satellite gas/aerosol and fire context</w:t>
            </w:r>
          </w:p>
        </w:tc>
        <w:tc>
          <w:tcPr>
            <w:tcW w:type="dxa" w:w="3345"/>
            <w:shd w:fill="F2F4F7"/>
            <w:tcMar>
              <w:top w:w="100" w:type="dxa"/>
              <w:start w:w="120" w:type="dxa"/>
              <w:bottom w:w="100" w:type="dxa"/>
              <w:end w:w="120" w:type="dxa"/>
            </w:tcMar>
            <w:vAlign w:val="top"/>
          </w:tcPr>
          <w:p>
            <w:pPr>
              <w:spacing w:after="0"/>
            </w:pPr>
            <w:r>
              <w:rPr>
                <w:color w:val="123047"/>
                <w:sz w:val="17"/>
              </w:rPr>
              <w:t>Cannot independently prove surface PM2.5 or a source.</w:t>
            </w:r>
          </w:p>
        </w:tc>
      </w:tr>
    </w:tbl>
    <w:p>
      <w:pPr>
        <w:spacing w:after="20"/>
      </w:pPr>
    </w:p>
    <w:p>
      <w:pPr>
        <w:pStyle w:val="Heading1"/>
      </w:pPr>
      <w:r>
        <w:t>3. Forecasting and sudden-event handling</w:t>
      </w:r>
    </w:p>
    <w:p>
      <w:pPr>
        <w:pStyle w:val="ListBullet"/>
        <w:spacing w:after="60"/>
      </w:pPr>
      <w:r>
        <w:t>Direct one-, three- and four-hour targets rather than recursively compounding a one-hour model.</w:t>
      </w:r>
    </w:p>
    <w:p>
      <w:pPr>
        <w:pStyle w:val="ListBullet"/>
        <w:spacing w:after="60"/>
      </w:pPr>
      <w:r>
        <w:t>Leakage-safe lag, rolling, weather and available pollutant features.</w:t>
      </w:r>
    </w:p>
    <w:p>
      <w:pPr>
        <w:pStyle w:val="ListBullet"/>
        <w:spacing w:after="60"/>
      </w:pPr>
      <w:r>
        <w:t>Time-ordered training/validation and newest untouched hold-out.</w:t>
      </w:r>
    </w:p>
    <w:p>
      <w:pPr>
        <w:pStyle w:val="ListBullet"/>
        <w:spacing w:after="60"/>
      </w:pPr>
      <w:r>
        <w:t>Persistence first; established tree boosting only when it demonstrates stable improvement.</w:t>
      </w:r>
    </w:p>
    <w:p>
      <w:pPr>
        <w:pStyle w:val="ListBullet"/>
        <w:spacing w:after="60"/>
      </w:pPr>
      <w:r>
        <w:t>Empirical residual ranges and an explicit research/prototype label.</w:t>
      </w:r>
    </w:p>
    <w:p>
      <w:pPr>
        <w:pStyle w:val="Heading2"/>
      </w:pPr>
      <w:r>
        <w:t>What happens when the model is wrong</w:t>
      </w:r>
    </w:p>
    <w:p>
      <w:pPr>
        <w:spacing w:after="60"/>
        <w:ind w:left="283" w:hanging="283"/>
      </w:pPr>
      <w:r>
        <w:rPr>
          <w:b/>
          <w:color w:val="087E8B"/>
        </w:rPr>
        <w:t xml:space="preserve">1.  </w:t>
      </w:r>
      <w:r>
        <w:t>Detect that a fresh observation lies well outside the expected residual distribution.</w:t>
      </w:r>
    </w:p>
    <w:p>
      <w:pPr>
        <w:spacing w:after="60"/>
        <w:ind w:left="283" w:hanging="283"/>
      </w:pPr>
      <w:r>
        <w:rPr>
          <w:b/>
          <w:color w:val="087E8B"/>
        </w:rPr>
        <w:t xml:space="preserve">2.  </w:t>
      </w:r>
      <w:r>
        <w:t>Create an unexpected local spike case and preserve the observation/forecast evidence.</w:t>
      </w:r>
    </w:p>
    <w:p>
      <w:pPr>
        <w:spacing w:after="60"/>
        <w:ind w:left="283" w:hanging="283"/>
      </w:pPr>
      <w:r>
        <w:rPr>
          <w:b/>
          <w:color w:val="087E8B"/>
        </w:rPr>
        <w:t xml:space="preserve">3.  </w:t>
      </w:r>
      <w:r>
        <w:t>Mark the cause unverified; do not infer burning, industry, traffic or sensor failure.</w:t>
      </w:r>
    </w:p>
    <w:p>
      <w:pPr>
        <w:spacing w:after="60"/>
        <w:ind w:left="283" w:hanging="283"/>
      </w:pPr>
      <w:r>
        <w:rPr>
          <w:b/>
          <w:color w:val="087E8B"/>
        </w:rPr>
        <w:t xml:space="preserve">4.  </w:t>
      </w:r>
      <w:r>
        <w:t>Ask a reviewer to check nearby stations, sensor health, weather, satellite/fire context and moderated citizen signals.</w:t>
      </w:r>
    </w:p>
    <w:p>
      <w:pPr>
        <w:spacing w:after="60"/>
        <w:ind w:left="283" w:hanging="283"/>
      </w:pPr>
      <w:r>
        <w:rPr>
          <w:b/>
          <w:color w:val="087E8B"/>
        </w:rPr>
        <w:t xml:space="preserve">5.  </w:t>
      </w:r>
      <w:r>
        <w:t>Record the reviewer’s monitor/inspect/escalate/close decision in the audit trail.</w:t>
      </w:r>
    </w:p>
    <w:tbl>
      <w:tblPr>
        <w:tblW w:type="auto" w:w="0"/>
        <w:jc w:val="center"/>
        <w:tblLook w:firstColumn="1" w:firstRow="1" w:lastColumn="0" w:lastRow="0" w:noHBand="0" w:noVBand="1" w:val="04A0"/>
      </w:tblPr>
      <w:tblGrid>
        <w:gridCol w:w="10142"/>
      </w:tblGrid>
      <w:tr>
        <w:tc>
          <w:tcPr>
            <w:tcW w:type="dxa" w:w="10142"/>
            <w:shd w:fill="FFF2D6"/>
            <w:tcMar>
              <w:top w:w="130" w:type="dxa"/>
              <w:start w:w="170" w:type="dxa"/>
              <w:bottom w:w="130" w:type="dxa"/>
              <w:end w:w="170" w:type="dxa"/>
            </w:tcMar>
          </w:tcPr>
          <w:p>
            <w:pPr>
              <w:spacing w:after="40"/>
            </w:pPr>
            <w:r>
              <w:rPr>
                <w:b/>
                <w:color w:val="123047"/>
                <w:sz w:val="22"/>
              </w:rPr>
              <w:t>Model policy</w:t>
            </w:r>
          </w:p>
          <w:p>
            <w:pPr>
              <w:spacing w:after="0"/>
            </w:pPr>
            <w:r>
              <w:t>The submission does not promote deep learning or federated learning. Vertex AI is only an optional host for a conventional, human-approved model that has earned promotion on approved data.</w:t>
            </w:r>
          </w:p>
        </w:tc>
      </w:tr>
    </w:tbl>
    <w:p>
      <w:pPr>
        <w:spacing w:after="20"/>
      </w:pPr>
    </w:p>
    <w:p>
      <w:pPr>
        <w:pStyle w:val="Heading1"/>
      </w:pPr>
      <w:r>
        <w:t>4. Working system components</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871"/>
            <w:shd w:fill="123047"/>
            <w:tcMar>
              <w:top w:w="100" w:type="dxa"/>
              <w:start w:w="120" w:type="dxa"/>
              <w:bottom w:w="100" w:type="dxa"/>
              <w:end w:w="120" w:type="dxa"/>
            </w:tcMar>
            <w:vAlign w:val="center"/>
          </w:tcPr>
          <w:p>
            <w:pPr>
              <w:jc w:val="left"/>
            </w:pPr>
            <w:r>
              <w:rPr>
                <w:b/>
                <w:color w:val="FFFFFF"/>
                <w:sz w:val="17"/>
              </w:rPr>
              <w:t>Component</w:t>
            </w:r>
          </w:p>
        </w:tc>
        <w:tc>
          <w:tcPr>
            <w:tcW w:type="dxa" w:w="3969"/>
            <w:shd w:fill="123047"/>
            <w:tcMar>
              <w:top w:w="100" w:type="dxa"/>
              <w:start w:w="120" w:type="dxa"/>
              <w:bottom w:w="100" w:type="dxa"/>
              <w:end w:w="120" w:type="dxa"/>
            </w:tcMar>
            <w:vAlign w:val="center"/>
          </w:tcPr>
          <w:p>
            <w:pPr>
              <w:jc w:val="left"/>
            </w:pPr>
            <w:r>
              <w:rPr>
                <w:b/>
                <w:color w:val="FFFFFF"/>
                <w:sz w:val="17"/>
              </w:rPr>
              <w:t>Job</w:t>
            </w:r>
          </w:p>
        </w:tc>
        <w:tc>
          <w:tcPr>
            <w:tcW w:type="dxa" w:w="3685"/>
            <w:shd w:fill="123047"/>
            <w:tcMar>
              <w:top w:w="100" w:type="dxa"/>
              <w:start w:w="120" w:type="dxa"/>
              <w:bottom w:w="100" w:type="dxa"/>
              <w:end w:w="120" w:type="dxa"/>
            </w:tcMar>
            <w:vAlign w:val="center"/>
          </w:tcPr>
          <w:p>
            <w:pPr>
              <w:jc w:val="left"/>
            </w:pPr>
            <w:r>
              <w:rPr>
                <w:b/>
                <w:color w:val="FFFFFF"/>
                <w:sz w:val="17"/>
              </w:rPr>
              <w:t>Safety boundary</w:t>
            </w:r>
          </w:p>
        </w:tc>
      </w:tr>
      <w:tr>
        <w:trPr>
          <w:cantSplit/>
        </w:trPr>
        <w:tc>
          <w:tcPr>
            <w:tcW w:type="dxa" w:w="1871"/>
            <w:tcMar>
              <w:top w:w="100" w:type="dxa"/>
              <w:start w:w="120" w:type="dxa"/>
              <w:bottom w:w="100" w:type="dxa"/>
              <w:end w:w="120" w:type="dxa"/>
            </w:tcMar>
            <w:vAlign w:val="top"/>
          </w:tcPr>
          <w:p>
            <w:pPr>
              <w:spacing w:after="0"/>
            </w:pPr>
            <w:r>
              <w:rPr>
                <w:color w:val="123047"/>
                <w:sz w:val="17"/>
              </w:rPr>
              <w:t>Public dashboard</w:t>
            </w:r>
          </w:p>
        </w:tc>
        <w:tc>
          <w:tcPr>
            <w:tcW w:type="dxa" w:w="3969"/>
            <w:tcMar>
              <w:top w:w="100" w:type="dxa"/>
              <w:start w:w="120" w:type="dxa"/>
              <w:bottom w:w="100" w:type="dxa"/>
              <w:end w:w="120" w:type="dxa"/>
            </w:tcMar>
            <w:vAlign w:val="top"/>
          </w:tcPr>
          <w:p>
            <w:pPr>
              <w:spacing w:after="0"/>
            </w:pPr>
            <w:r>
              <w:rPr>
                <w:color w:val="123047"/>
                <w:sz w:val="17"/>
              </w:rPr>
              <w:t>Reviewed city/locality aggregates, coverage and forecast ranges</w:t>
            </w:r>
          </w:p>
        </w:tc>
        <w:tc>
          <w:tcPr>
            <w:tcW w:type="dxa" w:w="3685"/>
            <w:tcMar>
              <w:top w:w="100" w:type="dxa"/>
              <w:start w:w="120" w:type="dxa"/>
              <w:bottom w:w="100" w:type="dxa"/>
              <w:end w:w="120" w:type="dxa"/>
            </w:tcMar>
            <w:vAlign w:val="top"/>
          </w:tcPr>
          <w:p>
            <w:pPr>
              <w:spacing w:after="0"/>
            </w:pPr>
            <w:r>
              <w:rPr>
                <w:color w:val="123047"/>
                <w:sz w:val="17"/>
              </w:rPr>
              <w:t>No personal evidence or enforcement actions</w:t>
            </w:r>
          </w:p>
        </w:tc>
      </w:tr>
      <w:tr>
        <w:trPr>
          <w:cantSplit/>
        </w:trPr>
        <w:tc>
          <w:tcPr>
            <w:tcW w:type="dxa" w:w="1871"/>
            <w:shd w:fill="F2F4F7"/>
            <w:tcMar>
              <w:top w:w="100" w:type="dxa"/>
              <w:start w:w="120" w:type="dxa"/>
              <w:bottom w:w="100" w:type="dxa"/>
              <w:end w:w="120" w:type="dxa"/>
            </w:tcMar>
            <w:vAlign w:val="top"/>
          </w:tcPr>
          <w:p>
            <w:pPr>
              <w:spacing w:after="0"/>
            </w:pPr>
            <w:r>
              <w:rPr>
                <w:color w:val="123047"/>
                <w:sz w:val="17"/>
              </w:rPr>
              <w:t>Citizen interface</w:t>
            </w:r>
          </w:p>
        </w:tc>
        <w:tc>
          <w:tcPr>
            <w:tcW w:type="dxa" w:w="3969"/>
            <w:shd w:fill="F2F4F7"/>
            <w:tcMar>
              <w:top w:w="100" w:type="dxa"/>
              <w:start w:w="120" w:type="dxa"/>
              <w:bottom w:w="100" w:type="dxa"/>
              <w:end w:w="120" w:type="dxa"/>
            </w:tcMar>
            <w:vAlign w:val="top"/>
          </w:tcPr>
          <w:p>
            <w:pPr>
              <w:spacing w:after="0"/>
            </w:pPr>
            <w:r>
              <w:rPr>
                <w:color w:val="123047"/>
                <w:sz w:val="17"/>
              </w:rPr>
              <w:t>Consented coarse-area text/photo/voice reports</w:t>
            </w:r>
          </w:p>
        </w:tc>
        <w:tc>
          <w:tcPr>
            <w:tcW w:type="dxa" w:w="3685"/>
            <w:shd w:fill="F2F4F7"/>
            <w:tcMar>
              <w:top w:w="100" w:type="dxa"/>
              <w:start w:w="120" w:type="dxa"/>
              <w:bottom w:w="100" w:type="dxa"/>
              <w:end w:w="120" w:type="dxa"/>
            </w:tcMar>
            <w:vAlign w:val="top"/>
          </w:tcPr>
          <w:p>
            <w:pPr>
              <w:spacing w:after="0"/>
            </w:pPr>
            <w:r>
              <w:rPr>
                <w:color w:val="123047"/>
                <w:sz w:val="17"/>
              </w:rPr>
              <w:t>Unverified pending evidence; exact location minimised</w:t>
            </w:r>
          </w:p>
        </w:tc>
      </w:tr>
      <w:tr>
        <w:trPr>
          <w:cantSplit/>
        </w:trPr>
        <w:tc>
          <w:tcPr>
            <w:tcW w:type="dxa" w:w="1871"/>
            <w:tcMar>
              <w:top w:w="100" w:type="dxa"/>
              <w:start w:w="120" w:type="dxa"/>
              <w:bottom w:w="100" w:type="dxa"/>
              <w:end w:w="120" w:type="dxa"/>
            </w:tcMar>
            <w:vAlign w:val="top"/>
          </w:tcPr>
          <w:p>
            <w:pPr>
              <w:spacing w:after="0"/>
            </w:pPr>
            <w:r>
              <w:rPr>
                <w:color w:val="123047"/>
                <w:sz w:val="17"/>
              </w:rPr>
              <w:t>Authority portal</w:t>
            </w:r>
          </w:p>
        </w:tc>
        <w:tc>
          <w:tcPr>
            <w:tcW w:type="dxa" w:w="3969"/>
            <w:tcMar>
              <w:top w:w="100" w:type="dxa"/>
              <w:start w:w="120" w:type="dxa"/>
              <w:bottom w:w="100" w:type="dxa"/>
              <w:end w:w="120" w:type="dxa"/>
            </w:tcMar>
            <w:vAlign w:val="top"/>
          </w:tcPr>
          <w:p>
            <w:pPr>
              <w:spacing w:after="0"/>
            </w:pPr>
            <w:r>
              <w:rPr>
                <w:color w:val="123047"/>
                <w:sz w:val="17"/>
              </w:rPr>
              <w:t>Case evidence and reviewer ownership; production UI is view-only</w:t>
            </w:r>
          </w:p>
        </w:tc>
        <w:tc>
          <w:tcPr>
            <w:tcW w:type="dxa" w:w="3685"/>
            <w:tcMar>
              <w:top w:w="100" w:type="dxa"/>
              <w:start w:w="120" w:type="dxa"/>
              <w:bottom w:w="100" w:type="dxa"/>
              <w:end w:w="120" w:type="dxa"/>
            </w:tcMar>
            <w:vAlign w:val="top"/>
          </w:tcPr>
          <w:p>
            <w:pPr>
              <w:spacing w:after="0"/>
            </w:pPr>
            <w:r>
              <w:rPr>
                <w:color w:val="123047"/>
                <w:sz w:val="17"/>
              </w:rPr>
              <w:t>Writes use private authorised API; no automated external action</w:t>
            </w:r>
          </w:p>
        </w:tc>
      </w:tr>
      <w:tr>
        <w:trPr>
          <w:cantSplit/>
        </w:trPr>
        <w:tc>
          <w:tcPr>
            <w:tcW w:type="dxa" w:w="1871"/>
            <w:shd w:fill="F2F4F7"/>
            <w:tcMar>
              <w:top w:w="100" w:type="dxa"/>
              <w:start w:w="120" w:type="dxa"/>
              <w:bottom w:w="100" w:type="dxa"/>
              <w:end w:w="120" w:type="dxa"/>
            </w:tcMar>
            <w:vAlign w:val="top"/>
          </w:tcPr>
          <w:p>
            <w:pPr>
              <w:spacing w:after="0"/>
            </w:pPr>
            <w:r>
              <w:rPr>
                <w:color w:val="123047"/>
                <w:sz w:val="17"/>
              </w:rPr>
              <w:t>FastAPI</w:t>
            </w:r>
          </w:p>
        </w:tc>
        <w:tc>
          <w:tcPr>
            <w:tcW w:type="dxa" w:w="3969"/>
            <w:shd w:fill="F2F4F7"/>
            <w:tcMar>
              <w:top w:w="100" w:type="dxa"/>
              <w:start w:w="120" w:type="dxa"/>
              <w:bottom w:w="100" w:type="dxa"/>
              <w:end w:w="120" w:type="dxa"/>
            </w:tcMar>
            <w:vAlign w:val="top"/>
          </w:tcPr>
          <w:p>
            <w:pPr>
              <w:spacing w:after="0"/>
            </w:pPr>
            <w:r>
              <w:rPr>
                <w:color w:val="123047"/>
                <w:sz w:val="17"/>
              </w:rPr>
              <w:t>Typed contracts, readiness and integration endpoints</w:t>
            </w:r>
          </w:p>
        </w:tc>
        <w:tc>
          <w:tcPr>
            <w:tcW w:type="dxa" w:w="3685"/>
            <w:shd w:fill="F2F4F7"/>
            <w:tcMar>
              <w:top w:w="100" w:type="dxa"/>
              <w:start w:w="120" w:type="dxa"/>
              <w:bottom w:w="100" w:type="dxa"/>
              <w:end w:w="120" w:type="dxa"/>
            </w:tcMar>
            <w:vAlign w:val="top"/>
          </w:tcPr>
          <w:p>
            <w:pPr>
              <w:spacing w:after="0"/>
            </w:pPr>
            <w:r>
              <w:rPr>
                <w:color w:val="123047"/>
                <w:sz w:val="17"/>
              </w:rPr>
              <w:t>Fail-closed production authentication</w:t>
            </w:r>
          </w:p>
        </w:tc>
      </w:tr>
      <w:tr>
        <w:trPr>
          <w:cantSplit/>
        </w:trPr>
        <w:tc>
          <w:tcPr>
            <w:tcW w:type="dxa" w:w="1871"/>
            <w:tcMar>
              <w:top w:w="100" w:type="dxa"/>
              <w:start w:w="120" w:type="dxa"/>
              <w:bottom w:w="100" w:type="dxa"/>
              <w:end w:w="120" w:type="dxa"/>
            </w:tcMar>
            <w:vAlign w:val="top"/>
          </w:tcPr>
          <w:p>
            <w:pPr>
              <w:spacing w:after="0"/>
            </w:pPr>
            <w:r>
              <w:rPr>
                <w:color w:val="123047"/>
                <w:sz w:val="17"/>
              </w:rPr>
              <w:t>Data pipeline</w:t>
            </w:r>
          </w:p>
        </w:tc>
        <w:tc>
          <w:tcPr>
            <w:tcW w:type="dxa" w:w="3969"/>
            <w:tcMar>
              <w:top w:w="100" w:type="dxa"/>
              <w:start w:w="120" w:type="dxa"/>
              <w:bottom w:w="100" w:type="dxa"/>
              <w:end w:w="120" w:type="dxa"/>
            </w:tcMar>
            <w:vAlign w:val="top"/>
          </w:tcPr>
          <w:p>
            <w:pPr>
              <w:spacing w:after="0"/>
            </w:pPr>
            <w:r>
              <w:rPr>
                <w:color w:val="123047"/>
                <w:sz w:val="17"/>
              </w:rPr>
              <w:t>Discovery, collection, validation, provenance and coverage</w:t>
            </w:r>
          </w:p>
        </w:tc>
        <w:tc>
          <w:tcPr>
            <w:tcW w:type="dxa" w:w="3685"/>
            <w:tcMar>
              <w:top w:w="100" w:type="dxa"/>
              <w:start w:w="120" w:type="dxa"/>
              <w:bottom w:w="100" w:type="dxa"/>
              <w:end w:w="120" w:type="dxa"/>
            </w:tcMar>
            <w:vAlign w:val="top"/>
          </w:tcPr>
          <w:p>
            <w:pPr>
              <w:spacing w:after="0"/>
            </w:pPr>
            <w:r>
              <w:rPr>
                <w:color w:val="123047"/>
                <w:sz w:val="17"/>
              </w:rPr>
              <w:t>Fallback labels cannot be promoted by volume</w:t>
            </w:r>
          </w:p>
        </w:tc>
      </w:tr>
      <w:tr>
        <w:trPr>
          <w:cantSplit/>
        </w:trPr>
        <w:tc>
          <w:tcPr>
            <w:tcW w:type="dxa" w:w="1871"/>
            <w:shd w:fill="F2F4F7"/>
            <w:tcMar>
              <w:top w:w="100" w:type="dxa"/>
              <w:start w:w="120" w:type="dxa"/>
              <w:bottom w:w="100" w:type="dxa"/>
              <w:end w:w="120" w:type="dxa"/>
            </w:tcMar>
            <w:vAlign w:val="top"/>
          </w:tcPr>
          <w:p>
            <w:pPr>
              <w:spacing w:after="0"/>
            </w:pPr>
            <w:r>
              <w:rPr>
                <w:color w:val="123047"/>
                <w:sz w:val="17"/>
              </w:rPr>
              <w:t>Forecast/anomaly</w:t>
            </w:r>
          </w:p>
        </w:tc>
        <w:tc>
          <w:tcPr>
            <w:tcW w:type="dxa" w:w="3969"/>
            <w:shd w:fill="F2F4F7"/>
            <w:tcMar>
              <w:top w:w="100" w:type="dxa"/>
              <w:start w:w="120" w:type="dxa"/>
              <w:bottom w:w="100" w:type="dxa"/>
              <w:end w:w="120" w:type="dxa"/>
            </w:tcMar>
            <w:vAlign w:val="top"/>
          </w:tcPr>
          <w:p>
            <w:pPr>
              <w:spacing w:after="0"/>
            </w:pPr>
            <w:r>
              <w:rPr>
                <w:color w:val="123047"/>
                <w:sz w:val="17"/>
              </w:rPr>
              <w:t>Short-horizon estimates and residual review cases</w:t>
            </w:r>
          </w:p>
        </w:tc>
        <w:tc>
          <w:tcPr>
            <w:tcW w:type="dxa" w:w="3685"/>
            <w:shd w:fill="F2F4F7"/>
            <w:tcMar>
              <w:top w:w="100" w:type="dxa"/>
              <w:start w:w="120" w:type="dxa"/>
              <w:bottom w:w="100" w:type="dxa"/>
              <w:end w:w="120" w:type="dxa"/>
            </w:tcMar>
            <w:vAlign w:val="top"/>
          </w:tcPr>
          <w:p>
            <w:pPr>
              <w:spacing w:after="0"/>
            </w:pPr>
            <w:r>
              <w:rPr>
                <w:color w:val="123047"/>
                <w:sz w:val="17"/>
              </w:rPr>
              <w:t>Historical prototype and cause-unverified language</w:t>
            </w:r>
          </w:p>
        </w:tc>
      </w:tr>
    </w:tbl>
    <w:p>
      <w:pPr>
        <w:spacing w:after="20"/>
      </w:pPr>
    </w:p>
    <w:p>
      <w:pPr>
        <w:pStyle w:val="Heading1"/>
      </w:pPr>
      <w:r>
        <w:t>5. Google technology architecture</w:t>
      </w:r>
    </w:p>
    <w:p>
      <w:r>
        <w:drawing>
          <wp:inline xmlns:a="http://schemas.openxmlformats.org/drawingml/2006/main" xmlns:pic="http://schemas.openxmlformats.org/drawingml/2006/picture">
            <wp:extent cx="6309360" cy="2760345"/>
            <wp:docPr id="2" name="Picture 2"/>
            <wp:cNvGraphicFramePr>
              <a:graphicFrameLocks noChangeAspect="1"/>
            </wp:cNvGraphicFramePr>
            <a:graphic>
              <a:graphicData uri="http://schemas.openxmlformats.org/drawingml/2006/picture">
                <pic:pic>
                  <pic:nvPicPr>
                    <pic:cNvPr id="0" name="final_google_cloud_architecture.png"/>
                    <pic:cNvPicPr/>
                  </pic:nvPicPr>
                  <pic:blipFill>
                    <a:blip r:embed="rId12"/>
                    <a:stretch>
                      <a:fillRect/>
                    </a:stretch>
                  </pic:blipFill>
                  <pic:spPr>
                    <a:xfrm>
                      <a:off x="0" y="0"/>
                      <a:ext cx="6309360" cy="2760345"/>
                    </a:xfrm>
                    <a:prstGeom prst="rect"/>
                  </pic:spPr>
                </pic:pic>
              </a:graphicData>
            </a:graphic>
          </wp:inline>
        </w:drawing>
      </w:r>
    </w:p>
    <w:p>
      <w:pPr>
        <w:pStyle w:val="CaptionSmall"/>
        <w:jc w:val="center"/>
      </w:pPr>
      <w:r>
        <w:t>Figure 2. Public aggregates are separated from private evidence, identity and authority actions.</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041"/>
            <w:shd w:fill="123047"/>
            <w:tcMar>
              <w:top w:w="100" w:type="dxa"/>
              <w:start w:w="120" w:type="dxa"/>
              <w:bottom w:w="100" w:type="dxa"/>
              <w:end w:w="120" w:type="dxa"/>
            </w:tcMar>
            <w:vAlign w:val="center"/>
          </w:tcPr>
          <w:p>
            <w:pPr>
              <w:jc w:val="left"/>
            </w:pPr>
            <w:r>
              <w:rPr>
                <w:b/>
                <w:color w:val="FFFFFF"/>
                <w:sz w:val="17"/>
              </w:rPr>
              <w:t>Technology</w:t>
            </w:r>
          </w:p>
        </w:tc>
        <w:tc>
          <w:tcPr>
            <w:tcW w:type="dxa" w:w="4139"/>
            <w:shd w:fill="123047"/>
            <w:tcMar>
              <w:top w:w="100" w:type="dxa"/>
              <w:start w:w="120" w:type="dxa"/>
              <w:bottom w:w="100" w:type="dxa"/>
              <w:end w:w="120" w:type="dxa"/>
            </w:tcMar>
            <w:vAlign w:val="center"/>
          </w:tcPr>
          <w:p>
            <w:pPr>
              <w:jc w:val="left"/>
            </w:pPr>
            <w:r>
              <w:rPr>
                <w:b/>
                <w:color w:val="FFFFFF"/>
                <w:sz w:val="17"/>
              </w:rPr>
              <w:t>Meaningful job</w:t>
            </w:r>
          </w:p>
        </w:tc>
        <w:tc>
          <w:tcPr>
            <w:tcW w:type="dxa" w:w="3572"/>
            <w:shd w:fill="123047"/>
            <w:tcMar>
              <w:top w:w="100" w:type="dxa"/>
              <w:start w:w="120" w:type="dxa"/>
              <w:bottom w:w="100" w:type="dxa"/>
              <w:end w:w="120" w:type="dxa"/>
            </w:tcMar>
            <w:vAlign w:val="center"/>
          </w:tcPr>
          <w:p>
            <w:pPr>
              <w:jc w:val="left"/>
            </w:pPr>
            <w:r>
              <w:rPr>
                <w:b/>
                <w:color w:val="FFFFFF"/>
                <w:sz w:val="17"/>
              </w:rPr>
              <w:t>Activation requirement</w:t>
            </w:r>
          </w:p>
        </w:tc>
      </w:tr>
      <w:tr>
        <w:trPr>
          <w:cantSplit/>
        </w:trPr>
        <w:tc>
          <w:tcPr>
            <w:tcW w:type="dxa" w:w="2041"/>
            <w:tcMar>
              <w:top w:w="100" w:type="dxa"/>
              <w:start w:w="120" w:type="dxa"/>
              <w:bottom w:w="100" w:type="dxa"/>
              <w:end w:w="120" w:type="dxa"/>
            </w:tcMar>
            <w:vAlign w:val="top"/>
          </w:tcPr>
          <w:p>
            <w:pPr>
              <w:spacing w:after="0"/>
            </w:pPr>
            <w:r>
              <w:rPr>
                <w:color w:val="123047"/>
                <w:sz w:val="17"/>
              </w:rPr>
              <w:t>Gemini API / AI Studio</w:t>
            </w:r>
          </w:p>
        </w:tc>
        <w:tc>
          <w:tcPr>
            <w:tcW w:type="dxa" w:w="4139"/>
            <w:tcMar>
              <w:top w:w="100" w:type="dxa"/>
              <w:start w:w="120" w:type="dxa"/>
              <w:bottom w:w="100" w:type="dxa"/>
              <w:end w:w="120" w:type="dxa"/>
            </w:tcMar>
            <w:vAlign w:val="top"/>
          </w:tcPr>
          <w:p>
            <w:pPr>
              <w:spacing w:after="0"/>
            </w:pPr>
            <w:r>
              <w:rPr>
                <w:color w:val="123047"/>
                <w:sz w:val="17"/>
              </w:rPr>
              <w:t>Guarded case explanation and in-memory photo description</w:t>
            </w:r>
          </w:p>
        </w:tc>
        <w:tc>
          <w:tcPr>
            <w:tcW w:type="dxa" w:w="3572"/>
            <w:tcMar>
              <w:top w:w="100" w:type="dxa"/>
              <w:start w:w="120" w:type="dxa"/>
              <w:bottom w:w="100" w:type="dxa"/>
              <w:end w:w="120" w:type="dxa"/>
            </w:tcMar>
            <w:vAlign w:val="top"/>
          </w:tcPr>
          <w:p>
            <w:pPr>
              <w:spacing w:after="0"/>
            </w:pPr>
            <w:r>
              <w:rPr>
                <w:color w:val="123047"/>
                <w:sz w:val="17"/>
              </w:rPr>
              <w:t>Secret Manager value, feature review and output audit</w:t>
            </w:r>
          </w:p>
        </w:tc>
      </w:tr>
      <w:tr>
        <w:trPr>
          <w:cantSplit/>
        </w:trPr>
        <w:tc>
          <w:tcPr>
            <w:tcW w:type="dxa" w:w="2041"/>
            <w:shd w:fill="F2F4F7"/>
            <w:tcMar>
              <w:top w:w="100" w:type="dxa"/>
              <w:start w:w="120" w:type="dxa"/>
              <w:bottom w:w="100" w:type="dxa"/>
              <w:end w:w="120" w:type="dxa"/>
            </w:tcMar>
            <w:vAlign w:val="top"/>
          </w:tcPr>
          <w:p>
            <w:pPr>
              <w:spacing w:after="0"/>
            </w:pPr>
            <w:r>
              <w:rPr>
                <w:color w:val="123047"/>
                <w:sz w:val="17"/>
              </w:rPr>
              <w:t>Vertex AI</w:t>
            </w:r>
          </w:p>
        </w:tc>
        <w:tc>
          <w:tcPr>
            <w:tcW w:type="dxa" w:w="4139"/>
            <w:shd w:fill="F2F4F7"/>
            <w:tcMar>
              <w:top w:w="100" w:type="dxa"/>
              <w:start w:w="120" w:type="dxa"/>
              <w:bottom w:w="100" w:type="dxa"/>
              <w:end w:w="120" w:type="dxa"/>
            </w:tcMar>
            <w:vAlign w:val="top"/>
          </w:tcPr>
          <w:p>
            <w:pPr>
              <w:spacing w:after="0"/>
            </w:pPr>
            <w:r>
              <w:rPr>
                <w:color w:val="123047"/>
                <w:sz w:val="17"/>
              </w:rPr>
              <w:t>Optional conventional-model hosting/monitoring</w:t>
            </w:r>
          </w:p>
        </w:tc>
        <w:tc>
          <w:tcPr>
            <w:tcW w:type="dxa" w:w="3572"/>
            <w:shd w:fill="F2F4F7"/>
            <w:tcMar>
              <w:top w:w="100" w:type="dxa"/>
              <w:start w:w="120" w:type="dxa"/>
              <w:bottom w:w="100" w:type="dxa"/>
              <w:end w:w="120" w:type="dxa"/>
            </w:tcMar>
            <w:vAlign w:val="top"/>
          </w:tcPr>
          <w:p>
            <w:pPr>
              <w:spacing w:after="0"/>
            </w:pPr>
            <w:r>
              <w:rPr>
                <w:color w:val="123047"/>
                <w:sz w:val="17"/>
              </w:rPr>
              <w:t>Approved model, model card and monitoring plan</w:t>
            </w:r>
          </w:p>
        </w:tc>
      </w:tr>
      <w:tr>
        <w:trPr>
          <w:cantSplit/>
        </w:trPr>
        <w:tc>
          <w:tcPr>
            <w:tcW w:type="dxa" w:w="2041"/>
            <w:tcMar>
              <w:top w:w="100" w:type="dxa"/>
              <w:start w:w="120" w:type="dxa"/>
              <w:bottom w:w="100" w:type="dxa"/>
              <w:end w:w="120" w:type="dxa"/>
            </w:tcMar>
            <w:vAlign w:val="top"/>
          </w:tcPr>
          <w:p>
            <w:pPr>
              <w:spacing w:after="0"/>
            </w:pPr>
            <w:r>
              <w:rPr>
                <w:color w:val="123047"/>
                <w:sz w:val="17"/>
              </w:rPr>
              <w:t>Firebase</w:t>
            </w:r>
          </w:p>
        </w:tc>
        <w:tc>
          <w:tcPr>
            <w:tcW w:type="dxa" w:w="4139"/>
            <w:tcMar>
              <w:top w:w="100" w:type="dxa"/>
              <w:start w:w="120" w:type="dxa"/>
              <w:bottom w:w="100" w:type="dxa"/>
              <w:end w:w="120" w:type="dxa"/>
            </w:tcMar>
            <w:vAlign w:val="top"/>
          </w:tcPr>
          <w:p>
            <w:pPr>
              <w:spacing w:after="0"/>
            </w:pPr>
            <w:r>
              <w:rPr>
                <w:color w:val="123047"/>
                <w:sz w:val="17"/>
              </w:rPr>
              <w:t>Citizen identity and minimum pending-review metadata</w:t>
            </w:r>
          </w:p>
        </w:tc>
        <w:tc>
          <w:tcPr>
            <w:tcW w:type="dxa" w:w="3572"/>
            <w:tcMar>
              <w:top w:w="100" w:type="dxa"/>
              <w:start w:w="120" w:type="dxa"/>
              <w:bottom w:w="100" w:type="dxa"/>
              <w:end w:w="120" w:type="dxa"/>
            </w:tcMar>
            <w:vAlign w:val="top"/>
          </w:tcPr>
          <w:p>
            <w:pPr>
              <w:spacing w:after="0"/>
            </w:pPr>
            <w:r>
              <w:rPr>
                <w:color w:val="123047"/>
                <w:sz w:val="17"/>
              </w:rPr>
              <w:t>Project, Auth, Firestore, rules, retention and abuse controls</w:t>
            </w:r>
          </w:p>
        </w:tc>
      </w:tr>
      <w:tr>
        <w:trPr>
          <w:cantSplit/>
        </w:trPr>
        <w:tc>
          <w:tcPr>
            <w:tcW w:type="dxa" w:w="2041"/>
            <w:shd w:fill="F2F4F7"/>
            <w:tcMar>
              <w:top w:w="100" w:type="dxa"/>
              <w:start w:w="120" w:type="dxa"/>
              <w:bottom w:w="100" w:type="dxa"/>
              <w:end w:w="120" w:type="dxa"/>
            </w:tcMar>
            <w:vAlign w:val="top"/>
          </w:tcPr>
          <w:p>
            <w:pPr>
              <w:spacing w:after="0"/>
            </w:pPr>
            <w:r>
              <w:rPr>
                <w:color w:val="123047"/>
                <w:sz w:val="17"/>
              </w:rPr>
              <w:t>BigQuery</w:t>
            </w:r>
          </w:p>
        </w:tc>
        <w:tc>
          <w:tcPr>
            <w:tcW w:type="dxa" w:w="4139"/>
            <w:shd w:fill="F2F4F7"/>
            <w:tcMar>
              <w:top w:w="100" w:type="dxa"/>
              <w:start w:w="120" w:type="dxa"/>
              <w:bottom w:w="100" w:type="dxa"/>
              <w:end w:w="120" w:type="dxa"/>
            </w:tcMar>
            <w:vAlign w:val="top"/>
          </w:tcPr>
          <w:p>
            <w:pPr>
              <w:spacing w:after="0"/>
            </w:pPr>
            <w:r>
              <w:rPr>
                <w:color w:val="123047"/>
                <w:sz w:val="17"/>
              </w:rPr>
              <w:t>Governed coverage/readiness/reviewed analytical tables</w:t>
            </w:r>
          </w:p>
        </w:tc>
        <w:tc>
          <w:tcPr>
            <w:tcW w:type="dxa" w:w="3572"/>
            <w:shd w:fill="F2F4F7"/>
            <w:tcMar>
              <w:top w:w="100" w:type="dxa"/>
              <w:start w:w="120" w:type="dxa"/>
              <w:bottom w:w="100" w:type="dxa"/>
              <w:end w:w="120" w:type="dxa"/>
            </w:tcMar>
            <w:vAlign w:val="top"/>
          </w:tcPr>
          <w:p>
            <w:pPr>
              <w:spacing w:after="0"/>
            </w:pPr>
            <w:r>
              <w:rPr>
                <w:color w:val="123047"/>
                <w:sz w:val="17"/>
              </w:rPr>
              <w:t>Dataset region, IAM, retention and cost policy</w:t>
            </w:r>
          </w:p>
        </w:tc>
      </w:tr>
      <w:tr>
        <w:trPr>
          <w:cantSplit/>
        </w:trPr>
        <w:tc>
          <w:tcPr>
            <w:tcW w:type="dxa" w:w="2041"/>
            <w:tcMar>
              <w:top w:w="100" w:type="dxa"/>
              <w:start w:w="120" w:type="dxa"/>
              <w:bottom w:w="100" w:type="dxa"/>
              <w:end w:w="120" w:type="dxa"/>
            </w:tcMar>
            <w:vAlign w:val="top"/>
          </w:tcPr>
          <w:p>
            <w:pPr>
              <w:spacing w:after="0"/>
            </w:pPr>
            <w:r>
              <w:rPr>
                <w:color w:val="123047"/>
                <w:sz w:val="17"/>
              </w:rPr>
              <w:t>Maps / Earth Engine</w:t>
            </w:r>
          </w:p>
        </w:tc>
        <w:tc>
          <w:tcPr>
            <w:tcW w:type="dxa" w:w="4139"/>
            <w:tcMar>
              <w:top w:w="100" w:type="dxa"/>
              <w:start w:w="120" w:type="dxa"/>
              <w:bottom w:w="100" w:type="dxa"/>
              <w:end w:w="120" w:type="dxa"/>
            </w:tcMar>
            <w:vAlign w:val="top"/>
          </w:tcPr>
          <w:p>
            <w:pPr>
              <w:spacing w:after="0"/>
            </w:pPr>
            <w:r>
              <w:rPr>
                <w:color w:val="123047"/>
                <w:sz w:val="17"/>
              </w:rPr>
              <w:t>Pilot-location and satellite contextual layers</w:t>
            </w:r>
          </w:p>
        </w:tc>
        <w:tc>
          <w:tcPr>
            <w:tcW w:type="dxa" w:w="3572"/>
            <w:tcMar>
              <w:top w:w="100" w:type="dxa"/>
              <w:start w:w="120" w:type="dxa"/>
              <w:bottom w:w="100" w:type="dxa"/>
              <w:end w:w="120" w:type="dxa"/>
            </w:tcMar>
            <w:vAlign w:val="top"/>
          </w:tcPr>
          <w:p>
            <w:pPr>
              <w:spacing w:after="0"/>
            </w:pPr>
            <w:r>
              <w:rPr>
                <w:color w:val="123047"/>
                <w:sz w:val="17"/>
              </w:rPr>
              <w:t>Restricted key / registered project; contextual-only policy</w:t>
            </w:r>
          </w:p>
        </w:tc>
      </w:tr>
      <w:tr>
        <w:trPr>
          <w:cantSplit/>
        </w:trPr>
        <w:tc>
          <w:tcPr>
            <w:tcW w:type="dxa" w:w="2041"/>
            <w:shd w:fill="F2F4F7"/>
            <w:tcMar>
              <w:top w:w="100" w:type="dxa"/>
              <w:start w:w="120" w:type="dxa"/>
              <w:bottom w:w="100" w:type="dxa"/>
              <w:end w:w="120" w:type="dxa"/>
            </w:tcMar>
            <w:vAlign w:val="top"/>
          </w:tcPr>
          <w:p>
            <w:pPr>
              <w:spacing w:after="0"/>
            </w:pPr>
            <w:r>
              <w:rPr>
                <w:color w:val="123047"/>
                <w:sz w:val="17"/>
              </w:rPr>
              <w:t>STT / Translation / TTS</w:t>
            </w:r>
          </w:p>
        </w:tc>
        <w:tc>
          <w:tcPr>
            <w:tcW w:type="dxa" w:w="4139"/>
            <w:shd w:fill="F2F4F7"/>
            <w:tcMar>
              <w:top w:w="100" w:type="dxa"/>
              <w:start w:w="120" w:type="dxa"/>
              <w:bottom w:w="100" w:type="dxa"/>
              <w:end w:w="120" w:type="dxa"/>
            </w:tcMar>
            <w:vAlign w:val="top"/>
          </w:tcPr>
          <w:p>
            <w:pPr>
              <w:spacing w:after="0"/>
            </w:pPr>
            <w:r>
              <w:rPr>
                <w:color w:val="123047"/>
                <w:sz w:val="17"/>
              </w:rPr>
              <w:t>Accessible multilingual report and guidance workflow</w:t>
            </w:r>
          </w:p>
        </w:tc>
        <w:tc>
          <w:tcPr>
            <w:tcW w:type="dxa" w:w="3572"/>
            <w:shd w:fill="F2F4F7"/>
            <w:tcMar>
              <w:top w:w="100" w:type="dxa"/>
              <w:start w:w="120" w:type="dxa"/>
              <w:bottom w:w="100" w:type="dxa"/>
              <w:end w:w="120" w:type="dxa"/>
            </w:tcMar>
            <w:vAlign w:val="top"/>
          </w:tcPr>
          <w:p>
            <w:pPr>
              <w:spacing w:after="0"/>
            </w:pPr>
            <w:r>
              <w:rPr>
                <w:color w:val="123047"/>
                <w:sz w:val="17"/>
              </w:rPr>
              <w:t>Consent, language QA, retention and enabled APIs</w:t>
            </w:r>
          </w:p>
        </w:tc>
      </w:tr>
      <w:tr>
        <w:trPr>
          <w:cantSplit/>
        </w:trPr>
        <w:tc>
          <w:tcPr>
            <w:tcW w:type="dxa" w:w="2041"/>
            <w:tcMar>
              <w:top w:w="100" w:type="dxa"/>
              <w:start w:w="120" w:type="dxa"/>
              <w:bottom w:w="100" w:type="dxa"/>
              <w:end w:w="120" w:type="dxa"/>
            </w:tcMar>
            <w:vAlign w:val="top"/>
          </w:tcPr>
          <w:p>
            <w:pPr>
              <w:spacing w:after="0"/>
            </w:pPr>
            <w:r>
              <w:rPr>
                <w:color w:val="123047"/>
                <w:sz w:val="17"/>
              </w:rPr>
              <w:t>Cloud Run</w:t>
            </w:r>
          </w:p>
        </w:tc>
        <w:tc>
          <w:tcPr>
            <w:tcW w:type="dxa" w:w="4139"/>
            <w:tcMar>
              <w:top w:w="100" w:type="dxa"/>
              <w:start w:w="120" w:type="dxa"/>
              <w:bottom w:w="100" w:type="dxa"/>
              <w:end w:w="120" w:type="dxa"/>
            </w:tcMar>
            <w:vAlign w:val="top"/>
          </w:tcPr>
          <w:p>
            <w:pPr>
              <w:spacing w:after="0"/>
            </w:pPr>
            <w:r>
              <w:rPr>
                <w:color w:val="123047"/>
                <w:sz w:val="17"/>
              </w:rPr>
              <w:t>Public aggregate, private API and private authority services</w:t>
            </w:r>
          </w:p>
        </w:tc>
        <w:tc>
          <w:tcPr>
            <w:tcW w:type="dxa" w:w="3572"/>
            <w:tcMar>
              <w:top w:w="100" w:type="dxa"/>
              <w:start w:w="120" w:type="dxa"/>
              <w:bottom w:w="100" w:type="dxa"/>
              <w:end w:w="120" w:type="dxa"/>
            </w:tcMar>
            <w:vAlign w:val="top"/>
          </w:tcPr>
          <w:p>
            <w:pPr>
              <w:spacing w:after="0"/>
            </w:pPr>
            <w:r>
              <w:rPr>
                <w:color w:val="123047"/>
                <w:sz w:val="17"/>
              </w:rPr>
              <w:t>Billing, IAM, secrets and URL/identity tests</w:t>
            </w:r>
          </w:p>
        </w:tc>
      </w:tr>
    </w:tbl>
    <w:p>
      <w:pPr>
        <w:spacing w:after="20"/>
      </w:pPr>
    </w:p>
    <w:p>
      <w:pPr>
        <w:pStyle w:val="Heading1"/>
      </w:pPr>
      <w:r>
        <w:t>6. Privacy, security and human governance</w:t>
      </w:r>
    </w:p>
    <w:p>
      <w:pPr>
        <w:pStyle w:val="ListBullet"/>
        <w:spacing w:after="60"/>
      </w:pPr>
      <w:r>
        <w:t>Verified citizen identity in production; stronger reviewer identity for authority operations.</w:t>
      </w:r>
    </w:p>
    <w:p>
      <w:pPr>
        <w:pStyle w:val="ListBullet"/>
        <w:spacing w:after="60"/>
      </w:pPr>
      <w:r>
        <w:t>Deny-by-default direct Firestore and Storage rules; server access through least-privilege cloud identities.</w:t>
      </w:r>
    </w:p>
    <w:p>
      <w:pPr>
        <w:pStyle w:val="ListBullet"/>
        <w:spacing w:after="60"/>
      </w:pPr>
      <w:r>
        <w:t>No exact private address, raw media or unnecessary contact data in analytical tables.</w:t>
      </w:r>
    </w:p>
    <w:p>
      <w:pPr>
        <w:pStyle w:val="ListBullet"/>
        <w:spacing w:after="60"/>
      </w:pPr>
      <w:r>
        <w:t>Bounded image/audio types and sizes; Gemini output cannot claim AQI, liability, enforcement or health diagnosis.</w:t>
      </w:r>
    </w:p>
    <w:p>
      <w:pPr>
        <w:pStyle w:val="ListBullet"/>
        <w:spacing w:after="60"/>
      </w:pPr>
      <w:r>
        <w:t>Secrets stay in Secret Manager and are excluded from Git, Docker context and documentation.</w:t>
      </w:r>
    </w:p>
    <w:p>
      <w:pPr>
        <w:pStyle w:val="ListBullet"/>
        <w:spacing w:after="60"/>
      </w:pPr>
      <w:r>
        <w:t>Production authority dashboard actions are view-only; writes must pass the private API's authenticated role policy and require durable storage before a pilot.</w:t>
      </w:r>
    </w:p>
    <w:p>
      <w:pPr>
        <w:pStyle w:val="ListBullet"/>
        <w:spacing w:after="60"/>
      </w:pPr>
      <w:r>
        <w:t>The public Cloud Run image is built from a temporary six-file aggregate allowlist; private queues, moderation summaries and model features are excluded.</w:t>
      </w:r>
    </w:p>
    <w:p>
      <w:pPr>
        <w:pStyle w:val="ListBullet"/>
        <w:spacing w:after="60"/>
      </w:pPr>
      <w:r>
        <w:t>Thirty-eight offline tests pass, including real in-process ASGI request-boundary checks and fail-closed cloud-adapter tests.</w:t>
      </w:r>
    </w:p>
    <w:tbl>
      <w:tblPr>
        <w:tblW w:type="auto" w:w="0"/>
        <w:jc w:val="center"/>
        <w:tblLook w:firstColumn="1" w:firstRow="1" w:lastColumn="0" w:lastRow="0" w:noHBand="0" w:noVBand="1" w:val="04A0"/>
      </w:tblPr>
      <w:tblGrid>
        <w:gridCol w:w="10142"/>
      </w:tblGrid>
      <w:tr>
        <w:tc>
          <w:tcPr>
            <w:tcW w:type="dxa" w:w="10142"/>
            <w:shd w:fill="EAF5EC"/>
            <w:tcMar>
              <w:top w:w="130" w:type="dxa"/>
              <w:start w:w="170" w:type="dxa"/>
              <w:bottom w:w="130" w:type="dxa"/>
              <w:end w:w="170" w:type="dxa"/>
            </w:tcMar>
          </w:tcPr>
          <w:p>
            <w:pPr>
              <w:spacing w:after="40"/>
            </w:pPr>
            <w:r>
              <w:rPr>
                <w:b/>
                <w:color w:val="123047"/>
                <w:sz w:val="22"/>
              </w:rPr>
              <w:t>Government-facing operating rule</w:t>
            </w:r>
          </w:p>
          <w:p>
            <w:pPr>
              <w:spacing w:after="0"/>
            </w:pPr>
            <w:r>
              <w:t>AirSentinel may recommend what to verify next. An authorised officer decides whether to monitor, inspect, coordinate, issue guidance or close the case through the appropriate official process.</w:t>
            </w:r>
          </w:p>
        </w:tc>
      </w:tr>
    </w:tbl>
    <w:p>
      <w:pPr>
        <w:spacing w:after="20"/>
      </w:pPr>
    </w:p>
    <w:p>
      <w:pPr>
        <w:pStyle w:val="Heading1"/>
      </w:pPr>
      <w:r>
        <w:t>7. Revised phases and ownership</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701"/>
            <w:shd w:fill="123047"/>
            <w:tcMar>
              <w:top w:w="100" w:type="dxa"/>
              <w:start w:w="120" w:type="dxa"/>
              <w:bottom w:w="100" w:type="dxa"/>
              <w:end w:w="120" w:type="dxa"/>
            </w:tcMar>
            <w:vAlign w:val="center"/>
          </w:tcPr>
          <w:p>
            <w:pPr>
              <w:jc w:val="left"/>
            </w:pPr>
            <w:r>
              <w:rPr>
                <w:b/>
                <w:color w:val="FFFFFF"/>
                <w:sz w:val="17"/>
              </w:rPr>
              <w:t>Phase</w:t>
            </w:r>
          </w:p>
        </w:tc>
        <w:tc>
          <w:tcPr>
            <w:tcW w:type="dxa" w:w="3969"/>
            <w:shd w:fill="123047"/>
            <w:tcMar>
              <w:top w:w="100" w:type="dxa"/>
              <w:start w:w="120" w:type="dxa"/>
              <w:bottom w:w="100" w:type="dxa"/>
              <w:end w:w="120" w:type="dxa"/>
            </w:tcMar>
            <w:vAlign w:val="center"/>
          </w:tcPr>
          <w:p>
            <w:pPr>
              <w:jc w:val="left"/>
            </w:pPr>
            <w:r>
              <w:rPr>
                <w:b/>
                <w:color w:val="FFFFFF"/>
                <w:sz w:val="17"/>
              </w:rPr>
              <w:t>Delivered</w:t>
            </w:r>
          </w:p>
        </w:tc>
        <w:tc>
          <w:tcPr>
            <w:tcW w:type="dxa" w:w="3969"/>
            <w:shd w:fill="123047"/>
            <w:tcMar>
              <w:top w:w="100" w:type="dxa"/>
              <w:start w:w="120" w:type="dxa"/>
              <w:bottom w:w="100" w:type="dxa"/>
              <w:end w:w="120" w:type="dxa"/>
            </w:tcMar>
            <w:vAlign w:val="center"/>
          </w:tcPr>
          <w:p>
            <w:pPr>
              <w:jc w:val="left"/>
            </w:pPr>
            <w:r>
              <w:rPr>
                <w:b/>
                <w:color w:val="FFFFFF"/>
                <w:sz w:val="17"/>
              </w:rPr>
              <w:t>External owner action</w:t>
            </w:r>
          </w:p>
        </w:tc>
      </w:tr>
      <w:tr>
        <w:trPr>
          <w:cantSplit/>
        </w:trPr>
        <w:tc>
          <w:tcPr>
            <w:tcW w:type="dxa" w:w="1701"/>
            <w:tcMar>
              <w:top w:w="100" w:type="dxa"/>
              <w:start w:w="120" w:type="dxa"/>
              <w:bottom w:w="100" w:type="dxa"/>
              <w:end w:w="120" w:type="dxa"/>
            </w:tcMar>
            <w:vAlign w:val="top"/>
          </w:tcPr>
          <w:p>
            <w:pPr>
              <w:spacing w:after="0"/>
            </w:pPr>
            <w:r>
              <w:rPr>
                <w:color w:val="123047"/>
                <w:sz w:val="17"/>
              </w:rPr>
              <w:t>0 Foundation</w:t>
            </w:r>
          </w:p>
        </w:tc>
        <w:tc>
          <w:tcPr>
            <w:tcW w:type="dxa" w:w="3969"/>
            <w:tcMar>
              <w:top w:w="100" w:type="dxa"/>
              <w:start w:w="120" w:type="dxa"/>
              <w:bottom w:w="100" w:type="dxa"/>
              <w:end w:w="120" w:type="dxa"/>
            </w:tcMar>
            <w:vAlign w:val="top"/>
          </w:tcPr>
          <w:p>
            <w:pPr>
              <w:spacing w:after="0"/>
            </w:pPr>
            <w:r>
              <w:rPr>
                <w:color w:val="123047"/>
                <w:sz w:val="17"/>
              </w:rPr>
              <w:t>Project, exclusions, evidence language and tests</w:t>
            </w:r>
          </w:p>
        </w:tc>
        <w:tc>
          <w:tcPr>
            <w:tcW w:type="dxa" w:w="3969"/>
            <w:tcMar>
              <w:top w:w="100" w:type="dxa"/>
              <w:start w:w="120" w:type="dxa"/>
              <w:bottom w:w="100" w:type="dxa"/>
              <w:end w:w="120" w:type="dxa"/>
            </w:tcMar>
            <w:vAlign w:val="top"/>
          </w:tcPr>
          <w:p>
            <w:pPr>
              <w:spacing w:after="0"/>
            </w:pPr>
            <w:r>
              <w:rPr>
                <w:color w:val="123047"/>
                <w:sz w:val="17"/>
              </w:rPr>
              <w:t>Nominate data/privacy owner</w:t>
            </w:r>
          </w:p>
        </w:tc>
      </w:tr>
      <w:tr>
        <w:trPr>
          <w:cantSplit/>
        </w:trPr>
        <w:tc>
          <w:tcPr>
            <w:tcW w:type="dxa" w:w="1701"/>
            <w:shd w:fill="F2F4F7"/>
            <w:tcMar>
              <w:top w:w="100" w:type="dxa"/>
              <w:start w:w="120" w:type="dxa"/>
              <w:bottom w:w="100" w:type="dxa"/>
              <w:end w:w="120" w:type="dxa"/>
            </w:tcMar>
            <w:vAlign w:val="top"/>
          </w:tcPr>
          <w:p>
            <w:pPr>
              <w:spacing w:after="0"/>
            </w:pPr>
            <w:r>
              <w:rPr>
                <w:color w:val="123047"/>
                <w:sz w:val="17"/>
              </w:rPr>
              <w:t>1 Trusted data</w:t>
            </w:r>
          </w:p>
        </w:tc>
        <w:tc>
          <w:tcPr>
            <w:tcW w:type="dxa" w:w="3969"/>
            <w:shd w:fill="F2F4F7"/>
            <w:tcMar>
              <w:top w:w="100" w:type="dxa"/>
              <w:start w:w="120" w:type="dxa"/>
              <w:bottom w:w="100" w:type="dxa"/>
              <w:end w:w="120" w:type="dxa"/>
            </w:tcMar>
            <w:vAlign w:val="top"/>
          </w:tcPr>
          <w:p>
            <w:pPr>
              <w:spacing w:after="0"/>
            </w:pPr>
            <w:r>
              <w:rPr>
                <w:color w:val="123047"/>
                <w:sz w:val="17"/>
              </w:rPr>
              <w:t>Six-pollutant sources, contract and QA</w:t>
            </w:r>
          </w:p>
        </w:tc>
        <w:tc>
          <w:tcPr>
            <w:tcW w:type="dxa" w:w="3969"/>
            <w:shd w:fill="F2F4F7"/>
            <w:tcMar>
              <w:top w:w="100" w:type="dxa"/>
              <w:start w:w="120" w:type="dxa"/>
              <w:bottom w:w="100" w:type="dxa"/>
              <w:end w:w="120" w:type="dxa"/>
            </w:tcMar>
            <w:vAlign w:val="top"/>
          </w:tcPr>
          <w:p>
            <w:pPr>
              <w:spacing w:after="0"/>
            </w:pPr>
            <w:r>
              <w:rPr>
                <w:color w:val="123047"/>
                <w:sz w:val="17"/>
              </w:rPr>
              <w:t>Authorised CPCB history/current access</w:t>
            </w:r>
          </w:p>
        </w:tc>
      </w:tr>
      <w:tr>
        <w:trPr>
          <w:cantSplit/>
        </w:trPr>
        <w:tc>
          <w:tcPr>
            <w:tcW w:type="dxa" w:w="1701"/>
            <w:tcMar>
              <w:top w:w="100" w:type="dxa"/>
              <w:start w:w="120" w:type="dxa"/>
              <w:bottom w:w="100" w:type="dxa"/>
              <w:end w:w="120" w:type="dxa"/>
            </w:tcMar>
            <w:vAlign w:val="top"/>
          </w:tcPr>
          <w:p>
            <w:pPr>
              <w:spacing w:after="0"/>
            </w:pPr>
            <w:r>
              <w:rPr>
                <w:color w:val="123047"/>
                <w:sz w:val="17"/>
              </w:rPr>
              <w:t>2 Long history</w:t>
            </w:r>
          </w:p>
        </w:tc>
        <w:tc>
          <w:tcPr>
            <w:tcW w:type="dxa" w:w="3969"/>
            <w:tcMar>
              <w:top w:w="100" w:type="dxa"/>
              <w:start w:w="120" w:type="dxa"/>
              <w:bottom w:w="100" w:type="dxa"/>
              <w:end w:w="120" w:type="dxa"/>
            </w:tcMar>
            <w:vAlign w:val="top"/>
          </w:tcPr>
          <w:p>
            <w:pPr>
              <w:spacing w:after="0"/>
            </w:pPr>
            <w:r>
              <w:rPr>
                <w:color w:val="123047"/>
                <w:sz w:val="17"/>
              </w:rPr>
              <w:t>Najafgarh/Safdarjung 181.9-day fallback evidence</w:t>
            </w:r>
          </w:p>
        </w:tc>
        <w:tc>
          <w:tcPr>
            <w:tcW w:type="dxa" w:w="3969"/>
            <w:tcMar>
              <w:top w:w="100" w:type="dxa"/>
              <w:start w:w="120" w:type="dxa"/>
              <w:bottom w:w="100" w:type="dxa"/>
              <w:end w:w="120" w:type="dxa"/>
            </w:tcMar>
            <w:vAlign w:val="top"/>
          </w:tcPr>
          <w:p>
            <w:pPr>
              <w:spacing w:after="0"/>
            </w:pPr>
            <w:r>
              <w:rPr>
                <w:color w:val="123047"/>
                <w:sz w:val="17"/>
              </w:rPr>
              <w:t>Verify mapping/calibration/geometry</w:t>
            </w:r>
          </w:p>
        </w:tc>
      </w:tr>
      <w:tr>
        <w:trPr>
          <w:cantSplit/>
        </w:trPr>
        <w:tc>
          <w:tcPr>
            <w:tcW w:type="dxa" w:w="1701"/>
            <w:shd w:fill="F2F4F7"/>
            <w:tcMar>
              <w:top w:w="100" w:type="dxa"/>
              <w:start w:w="120" w:type="dxa"/>
              <w:bottom w:w="100" w:type="dxa"/>
              <w:end w:w="120" w:type="dxa"/>
            </w:tcMar>
            <w:vAlign w:val="top"/>
          </w:tcPr>
          <w:p>
            <w:pPr>
              <w:spacing w:after="0"/>
            </w:pPr>
            <w:r>
              <w:rPr>
                <w:color w:val="123047"/>
                <w:sz w:val="17"/>
              </w:rPr>
              <w:t>3 Forecast &amp; anomaly</w:t>
            </w:r>
          </w:p>
        </w:tc>
        <w:tc>
          <w:tcPr>
            <w:tcW w:type="dxa" w:w="3969"/>
            <w:shd w:fill="F2F4F7"/>
            <w:tcMar>
              <w:top w:w="100" w:type="dxa"/>
              <w:start w:w="120" w:type="dxa"/>
              <w:bottom w:w="100" w:type="dxa"/>
              <w:end w:w="120" w:type="dxa"/>
            </w:tcMar>
            <w:vAlign w:val="top"/>
          </w:tcPr>
          <w:p>
            <w:pPr>
              <w:spacing w:after="0"/>
            </w:pPr>
            <w:r>
              <w:rPr>
                <w:color w:val="123047"/>
                <w:sz w:val="17"/>
              </w:rPr>
              <w:t>1h/3h/4h research candidates and residual cases</w:t>
            </w:r>
          </w:p>
        </w:tc>
        <w:tc>
          <w:tcPr>
            <w:tcW w:type="dxa" w:w="3969"/>
            <w:shd w:fill="F2F4F7"/>
            <w:tcMar>
              <w:top w:w="100" w:type="dxa"/>
              <w:start w:w="120" w:type="dxa"/>
              <w:bottom w:w="100" w:type="dxa"/>
              <w:end w:w="120" w:type="dxa"/>
            </w:tcMar>
            <w:vAlign w:val="top"/>
          </w:tcPr>
          <w:p>
            <w:pPr>
              <w:spacing w:after="0"/>
            </w:pPr>
            <w:r>
              <w:rPr>
                <w:color w:val="123047"/>
                <w:sz w:val="17"/>
              </w:rPr>
              <w:t>Fresh approved-data re-evaluation</w:t>
            </w:r>
          </w:p>
        </w:tc>
      </w:tr>
      <w:tr>
        <w:trPr>
          <w:cantSplit/>
        </w:trPr>
        <w:tc>
          <w:tcPr>
            <w:tcW w:type="dxa" w:w="1701"/>
            <w:tcMar>
              <w:top w:w="100" w:type="dxa"/>
              <w:start w:w="120" w:type="dxa"/>
              <w:bottom w:w="100" w:type="dxa"/>
              <w:end w:w="120" w:type="dxa"/>
            </w:tcMar>
            <w:vAlign w:val="top"/>
          </w:tcPr>
          <w:p>
            <w:pPr>
              <w:spacing w:after="0"/>
            </w:pPr>
            <w:r>
              <w:rPr>
                <w:color w:val="123047"/>
                <w:sz w:val="17"/>
              </w:rPr>
              <w:t>4 Authority review</w:t>
            </w:r>
          </w:p>
        </w:tc>
        <w:tc>
          <w:tcPr>
            <w:tcW w:type="dxa" w:w="3969"/>
            <w:tcMar>
              <w:top w:w="100" w:type="dxa"/>
              <w:start w:w="120" w:type="dxa"/>
              <w:bottom w:w="100" w:type="dxa"/>
              <w:end w:w="120" w:type="dxa"/>
            </w:tcMar>
            <w:vAlign w:val="top"/>
          </w:tcPr>
          <w:p>
            <w:pPr>
              <w:spacing w:after="0"/>
            </w:pPr>
            <w:r>
              <w:rPr>
                <w:color w:val="123047"/>
                <w:sz w:val="17"/>
              </w:rPr>
              <w:t>Private queue, actions and audit</w:t>
            </w:r>
          </w:p>
        </w:tc>
        <w:tc>
          <w:tcPr>
            <w:tcW w:type="dxa" w:w="3969"/>
            <w:tcMar>
              <w:top w:w="100" w:type="dxa"/>
              <w:start w:w="120" w:type="dxa"/>
              <w:bottom w:w="100" w:type="dxa"/>
              <w:end w:w="120" w:type="dxa"/>
            </w:tcMar>
            <w:vAlign w:val="top"/>
          </w:tcPr>
          <w:p>
            <w:pPr>
              <w:spacing w:after="0"/>
            </w:pPr>
            <w:r>
              <w:rPr>
                <w:color w:val="123047"/>
                <w:sz w:val="17"/>
              </w:rPr>
              <w:t>Official roles and escalation SLA</w:t>
            </w:r>
          </w:p>
        </w:tc>
      </w:tr>
      <w:tr>
        <w:trPr>
          <w:cantSplit/>
        </w:trPr>
        <w:tc>
          <w:tcPr>
            <w:tcW w:type="dxa" w:w="1701"/>
            <w:shd w:fill="F2F4F7"/>
            <w:tcMar>
              <w:top w:w="100" w:type="dxa"/>
              <w:start w:w="120" w:type="dxa"/>
              <w:bottom w:w="100" w:type="dxa"/>
              <w:end w:w="120" w:type="dxa"/>
            </w:tcMar>
            <w:vAlign w:val="top"/>
          </w:tcPr>
          <w:p>
            <w:pPr>
              <w:spacing w:after="0"/>
            </w:pPr>
            <w:r>
              <w:rPr>
                <w:color w:val="123047"/>
                <w:sz w:val="17"/>
              </w:rPr>
              <w:t>5 Citizen/accessibility</w:t>
            </w:r>
          </w:p>
        </w:tc>
        <w:tc>
          <w:tcPr>
            <w:tcW w:type="dxa" w:w="3969"/>
            <w:shd w:fill="F2F4F7"/>
            <w:tcMar>
              <w:top w:w="100" w:type="dxa"/>
              <w:start w:w="120" w:type="dxa"/>
              <w:bottom w:w="100" w:type="dxa"/>
              <w:end w:w="120" w:type="dxa"/>
            </w:tcMar>
            <w:vAlign w:val="top"/>
          </w:tcPr>
          <w:p>
            <w:pPr>
              <w:spacing w:after="0"/>
            </w:pPr>
            <w:r>
              <w:rPr>
                <w:color w:val="123047"/>
                <w:sz w:val="17"/>
              </w:rPr>
              <w:t>Text/photo/voice and moderation contracts</w:t>
            </w:r>
          </w:p>
        </w:tc>
        <w:tc>
          <w:tcPr>
            <w:tcW w:type="dxa" w:w="3969"/>
            <w:shd w:fill="F2F4F7"/>
            <w:tcMar>
              <w:top w:w="100" w:type="dxa"/>
              <w:start w:w="120" w:type="dxa"/>
              <w:bottom w:w="100" w:type="dxa"/>
              <w:end w:w="120" w:type="dxa"/>
            </w:tcMar>
            <w:vAlign w:val="top"/>
          </w:tcPr>
          <w:p>
            <w:pPr>
              <w:spacing w:after="0"/>
            </w:pPr>
            <w:r>
              <w:rPr>
                <w:color w:val="123047"/>
                <w:sz w:val="17"/>
              </w:rPr>
              <w:t>Firebase Auth, consent, retention, abuse response</w:t>
            </w:r>
          </w:p>
        </w:tc>
      </w:tr>
      <w:tr>
        <w:trPr>
          <w:cantSplit/>
        </w:trPr>
        <w:tc>
          <w:tcPr>
            <w:tcW w:type="dxa" w:w="1701"/>
            <w:tcMar>
              <w:top w:w="100" w:type="dxa"/>
              <w:start w:w="120" w:type="dxa"/>
              <w:bottom w:w="100" w:type="dxa"/>
              <w:end w:w="120" w:type="dxa"/>
            </w:tcMar>
            <w:vAlign w:val="top"/>
          </w:tcPr>
          <w:p>
            <w:pPr>
              <w:spacing w:after="0"/>
            </w:pPr>
            <w:r>
              <w:rPr>
                <w:color w:val="123047"/>
                <w:sz w:val="17"/>
              </w:rPr>
              <w:t>6 Google services</w:t>
            </w:r>
          </w:p>
        </w:tc>
        <w:tc>
          <w:tcPr>
            <w:tcW w:type="dxa" w:w="3969"/>
            <w:tcMar>
              <w:top w:w="100" w:type="dxa"/>
              <w:start w:w="120" w:type="dxa"/>
              <w:bottom w:w="100" w:type="dxa"/>
              <w:end w:w="120" w:type="dxa"/>
            </w:tcMar>
            <w:vAlign w:val="top"/>
          </w:tcPr>
          <w:p>
            <w:pPr>
              <w:spacing w:after="0"/>
            </w:pPr>
            <w:r>
              <w:rPr>
                <w:color w:val="123047"/>
                <w:sz w:val="17"/>
              </w:rPr>
              <w:t>Adapters and readiness checks</w:t>
            </w:r>
          </w:p>
        </w:tc>
        <w:tc>
          <w:tcPr>
            <w:tcW w:type="dxa" w:w="3969"/>
            <w:tcMar>
              <w:top w:w="100" w:type="dxa"/>
              <w:start w:w="120" w:type="dxa"/>
              <w:bottom w:w="100" w:type="dxa"/>
              <w:end w:w="120" w:type="dxa"/>
            </w:tcMar>
            <w:vAlign w:val="top"/>
          </w:tcPr>
          <w:p>
            <w:pPr>
              <w:spacing w:after="0"/>
            </w:pPr>
            <w:r>
              <w:rPr>
                <w:color w:val="123047"/>
                <w:sz w:val="17"/>
              </w:rPr>
              <w:t>Project, APIs, secrets and quotas</w:t>
            </w:r>
          </w:p>
        </w:tc>
      </w:tr>
      <w:tr>
        <w:trPr>
          <w:cantSplit/>
        </w:trPr>
        <w:tc>
          <w:tcPr>
            <w:tcW w:type="dxa" w:w="1701"/>
            <w:shd w:fill="F2F4F7"/>
            <w:tcMar>
              <w:top w:w="100" w:type="dxa"/>
              <w:start w:w="120" w:type="dxa"/>
              <w:bottom w:w="100" w:type="dxa"/>
              <w:end w:w="120" w:type="dxa"/>
            </w:tcMar>
            <w:vAlign w:val="top"/>
          </w:tcPr>
          <w:p>
            <w:pPr>
              <w:spacing w:after="0"/>
            </w:pPr>
            <w:r>
              <w:rPr>
                <w:color w:val="123047"/>
                <w:sz w:val="17"/>
              </w:rPr>
              <w:t>7 Deployment</w:t>
            </w:r>
          </w:p>
        </w:tc>
        <w:tc>
          <w:tcPr>
            <w:tcW w:type="dxa" w:w="3969"/>
            <w:shd w:fill="F2F4F7"/>
            <w:tcMar>
              <w:top w:w="100" w:type="dxa"/>
              <w:start w:w="120" w:type="dxa"/>
              <w:bottom w:w="100" w:type="dxa"/>
              <w:end w:w="120" w:type="dxa"/>
            </w:tcMar>
            <w:vAlign w:val="top"/>
          </w:tcPr>
          <w:p>
            <w:pPr>
              <w:spacing w:after="0"/>
            </w:pPr>
            <w:r>
              <w:rPr>
                <w:color w:val="123047"/>
                <w:sz w:val="17"/>
              </w:rPr>
              <w:t>Docker and Cloud Run scripts</w:t>
            </w:r>
          </w:p>
        </w:tc>
        <w:tc>
          <w:tcPr>
            <w:tcW w:type="dxa" w:w="3969"/>
            <w:shd w:fill="F2F4F7"/>
            <w:tcMar>
              <w:top w:w="100" w:type="dxa"/>
              <w:start w:w="120" w:type="dxa"/>
              <w:bottom w:w="100" w:type="dxa"/>
              <w:end w:w="120" w:type="dxa"/>
            </w:tcMar>
            <w:vAlign w:val="top"/>
          </w:tcPr>
          <w:p>
            <w:pPr>
              <w:spacing w:after="0"/>
            </w:pPr>
            <w:r>
              <w:rPr>
                <w:color w:val="123047"/>
                <w:sz w:val="17"/>
              </w:rPr>
              <w:t>Run/test real deployment and identities</w:t>
            </w:r>
          </w:p>
        </w:tc>
      </w:tr>
      <w:tr>
        <w:trPr>
          <w:cantSplit/>
        </w:trPr>
        <w:tc>
          <w:tcPr>
            <w:tcW w:type="dxa" w:w="1701"/>
            <w:tcMar>
              <w:top w:w="100" w:type="dxa"/>
              <w:start w:w="120" w:type="dxa"/>
              <w:bottom w:w="100" w:type="dxa"/>
              <w:end w:w="120" w:type="dxa"/>
            </w:tcMar>
            <w:vAlign w:val="top"/>
          </w:tcPr>
          <w:p>
            <w:pPr>
              <w:spacing w:after="0"/>
            </w:pPr>
            <w:r>
              <w:rPr>
                <w:color w:val="123047"/>
                <w:sz w:val="17"/>
              </w:rPr>
              <w:t>8 Submission</w:t>
            </w:r>
          </w:p>
        </w:tc>
        <w:tc>
          <w:tcPr>
            <w:tcW w:type="dxa" w:w="3969"/>
            <w:tcMar>
              <w:top w:w="100" w:type="dxa"/>
              <w:start w:w="120" w:type="dxa"/>
              <w:bottom w:w="100" w:type="dxa"/>
              <w:end w:w="120" w:type="dxa"/>
            </w:tcMar>
            <w:vAlign w:val="top"/>
          </w:tcPr>
          <w:p>
            <w:pPr>
              <w:spacing w:after="0"/>
            </w:pPr>
            <w:r>
              <w:rPr>
                <w:color w:val="123047"/>
                <w:sz w:val="17"/>
              </w:rPr>
              <w:t>Reports, deck, script and checklist</w:t>
            </w:r>
          </w:p>
        </w:tc>
        <w:tc>
          <w:tcPr>
            <w:tcW w:type="dxa" w:w="3969"/>
            <w:tcMar>
              <w:top w:w="100" w:type="dxa"/>
              <w:start w:w="120" w:type="dxa"/>
              <w:bottom w:w="100" w:type="dxa"/>
              <w:end w:w="120" w:type="dxa"/>
            </w:tcMar>
            <w:vAlign w:val="top"/>
          </w:tcPr>
          <w:p>
            <w:pPr>
              <w:spacing w:after="0"/>
            </w:pPr>
            <w:r>
              <w:rPr>
                <w:color w:val="123047"/>
                <w:sz w:val="17"/>
              </w:rPr>
              <w:t>Push GitHub, record video, insert URLs</w:t>
            </w:r>
          </w:p>
        </w:tc>
      </w:tr>
    </w:tbl>
    <w:p>
      <w:pPr>
        <w:spacing w:after="20"/>
      </w:pPr>
    </w:p>
    <w:p>
      <w:pPr>
        <w:pStyle w:val="Heading1"/>
      </w:pPr>
      <w:r>
        <w:t>8. Deployment and operational path</w:t>
      </w:r>
    </w:p>
    <w:p>
      <w:pPr>
        <w:spacing w:after="60"/>
        <w:ind w:left="283" w:hanging="283"/>
      </w:pPr>
      <w:r>
        <w:rPr>
          <w:b/>
          <w:color w:val="087E8B"/>
        </w:rPr>
        <w:t xml:space="preserve">1.  </w:t>
      </w:r>
      <w:r>
        <w:t>Create/select a team-owned GCP project, billing account, region and retention policy.</w:t>
      </w:r>
    </w:p>
    <w:p>
      <w:pPr>
        <w:spacing w:after="60"/>
        <w:ind w:left="283" w:hanging="283"/>
      </w:pPr>
      <w:r>
        <w:rPr>
          <w:b/>
          <w:color w:val="087E8B"/>
        </w:rPr>
        <w:t xml:space="preserve">2.  </w:t>
      </w:r>
      <w:r>
        <w:t>Authenticate gcloud and run the least-privilege bootstrap script.</w:t>
      </w:r>
    </w:p>
    <w:p>
      <w:pPr>
        <w:spacing w:after="60"/>
        <w:ind w:left="283" w:hanging="283"/>
      </w:pPr>
      <w:r>
        <w:rPr>
          <w:b/>
          <w:color w:val="087E8B"/>
        </w:rPr>
        <w:t xml:space="preserve">3.  </w:t>
      </w:r>
      <w:r>
        <w:t>Add reviewed secrets directly to Secret Manager and configure Firebase Auth/rules.</w:t>
      </w:r>
    </w:p>
    <w:p>
      <w:pPr>
        <w:spacing w:after="60"/>
        <w:ind w:left="283" w:hanging="283"/>
      </w:pPr>
      <w:r>
        <w:rPr>
          <w:b/>
          <w:color w:val="087E8B"/>
        </w:rPr>
        <w:t xml:space="preserve">4.  </w:t>
      </w:r>
      <w:r>
        <w:t>Create BigQuery governed tables and upload only approved analytical artifacts.</w:t>
      </w:r>
    </w:p>
    <w:p>
      <w:pPr>
        <w:spacing w:after="60"/>
        <w:ind w:left="283" w:hanging="283"/>
      </w:pPr>
      <w:r>
        <w:rPr>
          <w:b/>
          <w:color w:val="087E8B"/>
        </w:rPr>
        <w:t xml:space="preserve">5.  </w:t>
      </w:r>
      <w:r>
        <w:t>Deploy the private API and private authority portal from the private image; deploy the public dashboard from its temporary allowlisted context.</w:t>
      </w:r>
    </w:p>
    <w:p>
      <w:pPr>
        <w:spacing w:after="60"/>
        <w:ind w:left="283" w:hanging="283"/>
      </w:pPr>
      <w:r>
        <w:rPr>
          <w:b/>
          <w:color w:val="087E8B"/>
        </w:rPr>
        <w:t xml:space="preserve">6.  </w:t>
      </w:r>
      <w:r>
        <w:t>Test citizen identity, reviewer identity, audit persistence, negative access cases and all generated URLs.</w:t>
      </w:r>
    </w:p>
    <w:p>
      <w:pPr>
        <w:spacing w:after="60"/>
        <w:ind w:left="283" w:hanging="283"/>
      </w:pPr>
      <w:r>
        <w:rPr>
          <w:b/>
          <w:color w:val="087E8B"/>
        </w:rPr>
        <w:t xml:space="preserve">7.  </w:t>
      </w:r>
      <w:r>
        <w:t>Replace fallback/local file paths with approved persistent services before any operational pilot.</w:t>
      </w:r>
    </w:p>
    <w:tbl>
      <w:tblPr>
        <w:tblW w:type="auto" w:w="0"/>
        <w:jc w:val="center"/>
        <w:tblLook w:firstColumn="1" w:firstRow="1" w:lastColumn="0" w:lastRow="0" w:noHBand="0" w:noVBand="1" w:val="04A0"/>
      </w:tblPr>
      <w:tblGrid>
        <w:gridCol w:w="10142"/>
      </w:tblGrid>
      <w:tr>
        <w:tc>
          <w:tcPr>
            <w:tcW w:type="dxa" w:w="10142"/>
            <w:shd w:fill="FDECEC"/>
            <w:tcMar>
              <w:top w:w="130" w:type="dxa"/>
              <w:start w:w="170" w:type="dxa"/>
              <w:bottom w:w="130" w:type="dxa"/>
              <w:end w:w="170" w:type="dxa"/>
            </w:tcMar>
          </w:tcPr>
          <w:p>
            <w:pPr>
              <w:spacing w:after="40"/>
            </w:pPr>
            <w:r>
              <w:rPr>
                <w:b/>
                <w:color w:val="123047"/>
                <w:sz w:val="22"/>
              </w:rPr>
              <w:t>Current deployment truth</w:t>
            </w:r>
          </w:p>
          <w:p>
            <w:pPr>
              <w:spacing w:after="0"/>
            </w:pPr>
            <w:r>
              <w:t>No GCP project, billing account, gcloud authentication or public URL exists in the local environment. The code and scripts are ready; the account-bound execution remains a team owner task.</w:t>
            </w:r>
          </w:p>
        </w:tc>
      </w:tr>
    </w:tbl>
    <w:p>
      <w:pPr>
        <w:spacing w:after="20"/>
      </w:pPr>
    </w:p>
    <w:p>
      <w:pPr>
        <w:pStyle w:val="Heading1"/>
      </w:pPr>
      <w:r>
        <w:t>9. Demo and submission package</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154"/>
            <w:shd w:fill="123047"/>
            <w:tcMar>
              <w:top w:w="100" w:type="dxa"/>
              <w:start w:w="120" w:type="dxa"/>
              <w:bottom w:w="100" w:type="dxa"/>
              <w:end w:w="120" w:type="dxa"/>
            </w:tcMar>
            <w:vAlign w:val="center"/>
          </w:tcPr>
          <w:p>
            <w:pPr>
              <w:jc w:val="left"/>
            </w:pPr>
            <w:r>
              <w:rPr>
                <w:b/>
                <w:color w:val="FFFFFF"/>
                <w:sz w:val="17"/>
              </w:rPr>
              <w:t>Required item</w:t>
            </w:r>
          </w:p>
        </w:tc>
        <w:tc>
          <w:tcPr>
            <w:tcW w:type="dxa" w:w="3969"/>
            <w:shd w:fill="123047"/>
            <w:tcMar>
              <w:top w:w="100" w:type="dxa"/>
              <w:start w:w="120" w:type="dxa"/>
              <w:bottom w:w="100" w:type="dxa"/>
              <w:end w:w="120" w:type="dxa"/>
            </w:tcMar>
            <w:vAlign w:val="center"/>
          </w:tcPr>
          <w:p>
            <w:pPr>
              <w:jc w:val="left"/>
            </w:pPr>
            <w:r>
              <w:rPr>
                <w:b/>
                <w:color w:val="FFFFFF"/>
                <w:sz w:val="17"/>
              </w:rPr>
              <w:t>Prepared artifact</w:t>
            </w:r>
          </w:p>
        </w:tc>
        <w:tc>
          <w:tcPr>
            <w:tcW w:type="dxa" w:w="3515"/>
            <w:shd w:fill="123047"/>
            <w:tcMar>
              <w:top w:w="100" w:type="dxa"/>
              <w:start w:w="120" w:type="dxa"/>
              <w:bottom w:w="100" w:type="dxa"/>
              <w:end w:w="120" w:type="dxa"/>
            </w:tcMar>
            <w:vAlign w:val="center"/>
          </w:tcPr>
          <w:p>
            <w:pPr>
              <w:jc w:val="left"/>
            </w:pPr>
            <w:r>
              <w:rPr>
                <w:b/>
                <w:color w:val="FFFFFF"/>
                <w:sz w:val="17"/>
              </w:rPr>
              <w:t>Final human action</w:t>
            </w:r>
          </w:p>
        </w:tc>
      </w:tr>
      <w:tr>
        <w:trPr>
          <w:cantSplit/>
        </w:trPr>
        <w:tc>
          <w:tcPr>
            <w:tcW w:type="dxa" w:w="2154"/>
            <w:tcMar>
              <w:top w:w="100" w:type="dxa"/>
              <w:start w:w="120" w:type="dxa"/>
              <w:bottom w:w="100" w:type="dxa"/>
              <w:end w:w="120" w:type="dxa"/>
            </w:tcMar>
            <w:vAlign w:val="top"/>
          </w:tcPr>
          <w:p>
            <w:pPr>
              <w:spacing w:after="0"/>
            </w:pPr>
            <w:r>
              <w:rPr>
                <w:color w:val="123047"/>
                <w:sz w:val="17"/>
              </w:rPr>
              <w:t>Source repository</w:t>
            </w:r>
          </w:p>
        </w:tc>
        <w:tc>
          <w:tcPr>
            <w:tcW w:type="dxa" w:w="3969"/>
            <w:tcMar>
              <w:top w:w="100" w:type="dxa"/>
              <w:start w:w="120" w:type="dxa"/>
              <w:bottom w:w="100" w:type="dxa"/>
              <w:end w:w="120" w:type="dxa"/>
            </w:tcMar>
            <w:vAlign w:val="top"/>
          </w:tcPr>
          <w:p>
            <w:pPr>
              <w:spacing w:after="0"/>
            </w:pPr>
            <w:r>
              <w:rPr>
                <w:color w:val="123047"/>
                <w:sz w:val="17"/>
              </w:rPr>
              <w:t>Secret-safe source tree and release manifest</w:t>
            </w:r>
          </w:p>
        </w:tc>
        <w:tc>
          <w:tcPr>
            <w:tcW w:type="dxa" w:w="3515"/>
            <w:tcMar>
              <w:top w:w="100" w:type="dxa"/>
              <w:start w:w="120" w:type="dxa"/>
              <w:bottom w:w="100" w:type="dxa"/>
              <w:end w:w="120" w:type="dxa"/>
            </w:tcMar>
            <w:vAlign w:val="top"/>
          </w:tcPr>
          <w:p>
            <w:pPr>
              <w:spacing w:after="0"/>
            </w:pPr>
            <w:r>
              <w:rPr>
                <w:color w:val="123047"/>
                <w:sz w:val="17"/>
              </w:rPr>
              <w:t>Create/push GitHub and add URL</w:t>
            </w:r>
          </w:p>
        </w:tc>
      </w:tr>
      <w:tr>
        <w:trPr>
          <w:cantSplit/>
        </w:trPr>
        <w:tc>
          <w:tcPr>
            <w:tcW w:type="dxa" w:w="2154"/>
            <w:shd w:fill="F2F4F7"/>
            <w:tcMar>
              <w:top w:w="100" w:type="dxa"/>
              <w:start w:w="120" w:type="dxa"/>
              <w:bottom w:w="100" w:type="dxa"/>
              <w:end w:w="120" w:type="dxa"/>
            </w:tcMar>
            <w:vAlign w:val="top"/>
          </w:tcPr>
          <w:p>
            <w:pPr>
              <w:spacing w:after="0"/>
            </w:pPr>
            <w:r>
              <w:rPr>
                <w:color w:val="123047"/>
                <w:sz w:val="17"/>
              </w:rPr>
              <w:t>3–5 minute video</w:t>
            </w:r>
          </w:p>
        </w:tc>
        <w:tc>
          <w:tcPr>
            <w:tcW w:type="dxa" w:w="3969"/>
            <w:shd w:fill="F2F4F7"/>
            <w:tcMar>
              <w:top w:w="100" w:type="dxa"/>
              <w:start w:w="120" w:type="dxa"/>
              <w:bottom w:w="100" w:type="dxa"/>
              <w:end w:w="120" w:type="dxa"/>
            </w:tcMar>
            <w:vAlign w:val="top"/>
          </w:tcPr>
          <w:p>
            <w:pPr>
              <w:spacing w:after="0"/>
            </w:pPr>
            <w:r>
              <w:rPr>
                <w:color w:val="123047"/>
                <w:sz w:val="17"/>
              </w:rPr>
              <w:t>Timed script and demo runbook</w:t>
            </w:r>
          </w:p>
        </w:tc>
        <w:tc>
          <w:tcPr>
            <w:tcW w:type="dxa" w:w="3515"/>
            <w:shd w:fill="F2F4F7"/>
            <w:tcMar>
              <w:top w:w="100" w:type="dxa"/>
              <w:start w:w="120" w:type="dxa"/>
              <w:bottom w:w="100" w:type="dxa"/>
              <w:end w:w="120" w:type="dxa"/>
            </w:tcMar>
            <w:vAlign w:val="top"/>
          </w:tcPr>
          <w:p>
            <w:pPr>
              <w:spacing w:after="0"/>
            </w:pPr>
            <w:r>
              <w:rPr>
                <w:color w:val="123047"/>
                <w:sz w:val="17"/>
              </w:rPr>
              <w:t>Record narration/screen and upload</w:t>
            </w:r>
          </w:p>
        </w:tc>
      </w:tr>
      <w:tr>
        <w:trPr>
          <w:cantSplit/>
        </w:trPr>
        <w:tc>
          <w:tcPr>
            <w:tcW w:type="dxa" w:w="2154"/>
            <w:tcMar>
              <w:top w:w="100" w:type="dxa"/>
              <w:start w:w="120" w:type="dxa"/>
              <w:bottom w:w="100" w:type="dxa"/>
              <w:end w:w="120" w:type="dxa"/>
            </w:tcMar>
            <w:vAlign w:val="top"/>
          </w:tcPr>
          <w:p>
            <w:pPr>
              <w:spacing w:after="0"/>
            </w:pPr>
            <w:r>
              <w:rPr>
                <w:color w:val="123047"/>
                <w:sz w:val="17"/>
              </w:rPr>
              <w:t>10–12 slide deck</w:t>
            </w:r>
          </w:p>
        </w:tc>
        <w:tc>
          <w:tcPr>
            <w:tcW w:type="dxa" w:w="3969"/>
            <w:tcMar>
              <w:top w:w="100" w:type="dxa"/>
              <w:start w:w="120" w:type="dxa"/>
              <w:bottom w:w="100" w:type="dxa"/>
              <w:end w:w="120" w:type="dxa"/>
            </w:tcMar>
            <w:vAlign w:val="top"/>
          </w:tcPr>
          <w:p>
            <w:pPr>
              <w:spacing w:after="0"/>
            </w:pPr>
            <w:r>
              <w:rPr>
                <w:color w:val="123047"/>
                <w:sz w:val="17"/>
              </w:rPr>
              <w:t>AirSentinel_Hackathon_Pitch_Deck.pptx</w:t>
            </w:r>
          </w:p>
        </w:tc>
        <w:tc>
          <w:tcPr>
            <w:tcW w:type="dxa" w:w="3515"/>
            <w:tcMar>
              <w:top w:w="100" w:type="dxa"/>
              <w:start w:w="120" w:type="dxa"/>
              <w:bottom w:w="100" w:type="dxa"/>
              <w:end w:w="120" w:type="dxa"/>
            </w:tcMar>
            <w:vAlign w:val="top"/>
          </w:tcPr>
          <w:p>
            <w:pPr>
              <w:spacing w:after="0"/>
            </w:pPr>
            <w:r>
              <w:rPr>
                <w:color w:val="123047"/>
                <w:sz w:val="17"/>
              </w:rPr>
              <w:t>Add final URLs/team names if needed</w:t>
            </w:r>
          </w:p>
        </w:tc>
      </w:tr>
      <w:tr>
        <w:trPr>
          <w:cantSplit/>
        </w:trPr>
        <w:tc>
          <w:tcPr>
            <w:tcW w:type="dxa" w:w="2154"/>
            <w:shd w:fill="F2F4F7"/>
            <w:tcMar>
              <w:top w:w="100" w:type="dxa"/>
              <w:start w:w="120" w:type="dxa"/>
              <w:bottom w:w="100" w:type="dxa"/>
              <w:end w:w="120" w:type="dxa"/>
            </w:tcMar>
            <w:vAlign w:val="top"/>
          </w:tcPr>
          <w:p>
            <w:pPr>
              <w:spacing w:after="0"/>
            </w:pPr>
            <w:r>
              <w:rPr>
                <w:color w:val="123047"/>
                <w:sz w:val="17"/>
              </w:rPr>
              <w:t>Short description</w:t>
            </w:r>
          </w:p>
        </w:tc>
        <w:tc>
          <w:tcPr>
            <w:tcW w:type="dxa" w:w="3969"/>
            <w:shd w:fill="F2F4F7"/>
            <w:tcMar>
              <w:top w:w="100" w:type="dxa"/>
              <w:start w:w="120" w:type="dxa"/>
              <w:bottom w:w="100" w:type="dxa"/>
              <w:end w:w="120" w:type="dxa"/>
            </w:tcMar>
            <w:vAlign w:val="top"/>
          </w:tcPr>
          <w:p>
            <w:pPr>
              <w:spacing w:after="0"/>
            </w:pPr>
            <w:r>
              <w:rPr>
                <w:color w:val="123047"/>
                <w:sz w:val="17"/>
              </w:rPr>
              <w:t>SHORT_PROJECT_DESCRIPTION.md</w:t>
            </w:r>
          </w:p>
        </w:tc>
        <w:tc>
          <w:tcPr>
            <w:tcW w:type="dxa" w:w="3515"/>
            <w:shd w:fill="F2F4F7"/>
            <w:tcMar>
              <w:top w:w="100" w:type="dxa"/>
              <w:start w:w="120" w:type="dxa"/>
              <w:bottom w:w="100" w:type="dxa"/>
              <w:end w:w="120" w:type="dxa"/>
            </w:tcMar>
            <w:vAlign w:val="top"/>
          </w:tcPr>
          <w:p>
            <w:pPr>
              <w:spacing w:after="0"/>
            </w:pPr>
            <w:r>
              <w:rPr>
                <w:color w:val="123047"/>
                <w:sz w:val="17"/>
              </w:rPr>
              <w:t>Paste into submission form</w:t>
            </w:r>
          </w:p>
        </w:tc>
      </w:tr>
      <w:tr>
        <w:trPr>
          <w:cantSplit/>
        </w:trPr>
        <w:tc>
          <w:tcPr>
            <w:tcW w:type="dxa" w:w="2154"/>
            <w:tcMar>
              <w:top w:w="100" w:type="dxa"/>
              <w:start w:w="120" w:type="dxa"/>
              <w:bottom w:w="100" w:type="dxa"/>
              <w:end w:w="120" w:type="dxa"/>
            </w:tcMar>
            <w:vAlign w:val="top"/>
          </w:tcPr>
          <w:p>
            <w:pPr>
              <w:spacing w:after="0"/>
            </w:pPr>
            <w:r>
              <w:rPr>
                <w:color w:val="123047"/>
                <w:sz w:val="17"/>
              </w:rPr>
              <w:t>Deployed link</w:t>
            </w:r>
          </w:p>
        </w:tc>
        <w:tc>
          <w:tcPr>
            <w:tcW w:type="dxa" w:w="3969"/>
            <w:tcMar>
              <w:top w:w="100" w:type="dxa"/>
              <w:start w:w="120" w:type="dxa"/>
              <w:bottom w:w="100" w:type="dxa"/>
              <w:end w:w="120" w:type="dxa"/>
            </w:tcMar>
            <w:vAlign w:val="top"/>
          </w:tcPr>
          <w:p>
            <w:pPr>
              <w:spacing w:after="0"/>
            </w:pPr>
            <w:r>
              <w:rPr>
                <w:color w:val="123047"/>
                <w:sz w:val="17"/>
              </w:rPr>
              <w:t>Cloud Run scripts and status template</w:t>
            </w:r>
          </w:p>
        </w:tc>
        <w:tc>
          <w:tcPr>
            <w:tcW w:type="dxa" w:w="3515"/>
            <w:tcMar>
              <w:top w:w="100" w:type="dxa"/>
              <w:start w:w="120" w:type="dxa"/>
              <w:bottom w:w="100" w:type="dxa"/>
              <w:end w:w="120" w:type="dxa"/>
            </w:tcMar>
            <w:vAlign w:val="top"/>
          </w:tcPr>
          <w:p>
            <w:pPr>
              <w:spacing w:after="0"/>
            </w:pPr>
            <w:r>
              <w:rPr>
                <w:color w:val="123047"/>
                <w:sz w:val="17"/>
              </w:rPr>
              <w:t>Deploy/test and add verified URL</w:t>
            </w:r>
          </w:p>
        </w:tc>
      </w:tr>
    </w:tbl>
    <w:p>
      <w:pPr>
        <w:spacing w:after="20"/>
      </w:pPr>
    </w:p>
    <w:p>
      <w:pPr>
        <w:pStyle w:val="Heading2"/>
      </w:pPr>
      <w:r>
        <w:t>Recommended demo story</w:t>
      </w:r>
    </w:p>
    <w:p>
      <w:pPr>
        <w:spacing w:after="60"/>
        <w:ind w:left="283" w:hanging="283"/>
      </w:pPr>
      <w:r>
        <w:rPr>
          <w:b/>
          <w:color w:val="087E8B"/>
        </w:rPr>
        <w:t xml:space="preserve">1.  </w:t>
      </w:r>
      <w:r>
        <w:t>Show the local monitoring gap and evidence quality.</w:t>
      </w:r>
    </w:p>
    <w:p>
      <w:pPr>
        <w:spacing w:after="60"/>
        <w:ind w:left="283" w:hanging="283"/>
      </w:pPr>
      <w:r>
        <w:rPr>
          <w:b/>
          <w:color w:val="087E8B"/>
        </w:rPr>
        <w:t xml:space="preserve">2.  </w:t>
      </w:r>
      <w:r>
        <w:t>Show Najafgarh/Safdarjung’s improved historical coverage.</w:t>
      </w:r>
    </w:p>
    <w:p>
      <w:pPr>
        <w:spacing w:after="60"/>
        <w:ind w:left="283" w:hanging="283"/>
      </w:pPr>
      <w:r>
        <w:rPr>
          <w:b/>
          <w:color w:val="087E8B"/>
        </w:rPr>
        <w:t xml:space="preserve">3.  </w:t>
      </w:r>
      <w:r>
        <w:t>Show a short-horizon forecast and uncertainty.</w:t>
      </w:r>
    </w:p>
    <w:p>
      <w:pPr>
        <w:spacing w:after="60"/>
        <w:ind w:left="283" w:hanging="283"/>
      </w:pPr>
      <w:r>
        <w:rPr>
          <w:b/>
          <w:color w:val="087E8B"/>
        </w:rPr>
        <w:t xml:space="preserve">4.  </w:t>
      </w:r>
      <w:r>
        <w:t>Show a forecast miss becoming a cause-unverified case.</w:t>
      </w:r>
    </w:p>
    <w:p>
      <w:pPr>
        <w:spacing w:after="60"/>
        <w:ind w:left="283" w:hanging="283"/>
      </w:pPr>
      <w:r>
        <w:rPr>
          <w:b/>
          <w:color w:val="087E8B"/>
        </w:rPr>
        <w:t xml:space="preserve">5.  </w:t>
      </w:r>
      <w:r>
        <w:t>Show citizen evidence and a human authority action.</w:t>
      </w:r>
    </w:p>
    <w:p>
      <w:pPr>
        <w:spacing w:after="60"/>
        <w:ind w:left="283" w:hanging="283"/>
      </w:pPr>
      <w:r>
        <w:rPr>
          <w:b/>
          <w:color w:val="087E8B"/>
        </w:rPr>
        <w:t xml:space="preserve">6.  </w:t>
      </w:r>
      <w:r>
        <w:t>Show the Google service boundary and name the remaining account-bound steps honestly.</w:t>
      </w:r>
    </w:p>
    <w:p>
      <w:pPr>
        <w:pStyle w:val="Heading1"/>
      </w:pPr>
      <w:r>
        <w:t>10. Limitations and next decisions</w:t>
      </w:r>
    </w:p>
    <w:p>
      <w:pPr>
        <w:pStyle w:val="ListBullet"/>
        <w:spacing w:after="60"/>
      </w:pPr>
      <w:r>
        <w:t>Fallback history is not an approved government archive.</w:t>
      </w:r>
    </w:p>
    <w:p>
      <w:pPr>
        <w:pStyle w:val="ListBullet"/>
        <w:spacing w:after="60"/>
      </w:pPr>
      <w:r>
        <w:t>Locality pilots are station-proxy areas until geometry and physical mapping are approved.</w:t>
      </w:r>
    </w:p>
    <w:p>
      <w:pPr>
        <w:pStyle w:val="ListBullet"/>
        <w:spacing w:after="60"/>
      </w:pPr>
      <w:r>
        <w:t>Historical forecast performance is not live operational performance.</w:t>
      </w:r>
    </w:p>
    <w:p>
      <w:pPr>
        <w:pStyle w:val="ListBullet"/>
        <w:spacing w:after="60"/>
      </w:pPr>
      <w:r>
        <w:t>Satellite vertical-column products are not surface PM2.5 in micrograms per cubic metre.</w:t>
      </w:r>
    </w:p>
    <w:p>
      <w:pPr>
        <w:pStyle w:val="ListBullet"/>
        <w:spacing w:after="60"/>
      </w:pPr>
      <w:r>
        <w:t>Citizen, purifier and photo evidence supports triage but does not substitute for verified outdoor monitoring.</w:t>
      </w:r>
    </w:p>
    <w:p>
      <w:pPr>
        <w:pStyle w:val="ListBullet"/>
        <w:spacing w:after="60"/>
      </w:pPr>
      <w:r>
        <w:t>Cloud Run local disk is ephemeral; operational reports/actions require Firestore/BigQuery persistence.</w:t>
      </w:r>
    </w:p>
    <w:p>
      <w:pPr>
        <w:pStyle w:val="ListBullet"/>
        <w:spacing w:after="60"/>
      </w:pPr>
      <w:r>
        <w:t>Public warnings, health advice, source attribution and enforcement need the competent authority’s policy and approval.</w:t>
      </w:r>
    </w:p>
    <w:p>
      <w:pPr>
        <w:pStyle w:val="Heading1"/>
      </w:pPr>
      <w:r>
        <w:t>11. Source references</w:t>
      </w:r>
    </w:p>
    <w:p>
      <w:pPr>
        <w:pStyle w:val="ListBullet"/>
        <w:spacing w:after="60"/>
      </w:pPr>
      <w:r>
        <w:t>CPCB/data.gov.in real-time air-quality catalogue — https://www.data.gov.in/catalog/real-time-air-quality-index</w:t>
      </w:r>
    </w:p>
    <w:p>
      <w:pPr>
        <w:pStyle w:val="ListBullet"/>
        <w:spacing w:after="60"/>
      </w:pPr>
      <w:r>
        <w:t>OpenAQ API documentation — https://docs.openaq.org/</w:t>
      </w:r>
    </w:p>
    <w:p>
      <w:pPr>
        <w:pStyle w:val="ListBullet"/>
        <w:spacing w:after="60"/>
      </w:pPr>
      <w:r>
        <w:t>Open-Meteo historical weather — https://open-meteo.com/en/docs/historical-weather-api</w:t>
      </w:r>
    </w:p>
    <w:p>
      <w:pPr>
        <w:pStyle w:val="ListBullet"/>
        <w:spacing w:after="60"/>
      </w:pPr>
      <w:r>
        <w:t>Google Cloud Run authentication — https://cloud.google.com/run/docs/authenticating/overview</w:t>
      </w:r>
    </w:p>
    <w:p>
      <w:pPr>
        <w:pStyle w:val="ListBullet"/>
        <w:spacing w:after="60"/>
      </w:pPr>
      <w:r>
        <w:t>Firebase security rules and authentication — https://firebase.google.com/docs/rules/rules-and-auth</w:t>
      </w:r>
    </w:p>
    <w:p>
      <w:pPr>
        <w:pStyle w:val="ListBullet"/>
        <w:spacing w:after="60"/>
      </w:pPr>
      <w:r>
        <w:t>Gemini image understanding — https://ai.google.dev/gemini-api/docs/image-understanding</w:t>
      </w:r>
    </w:p>
    <w:p>
      <w:pPr>
        <w:pStyle w:val="ListBullet"/>
        <w:spacing w:after="60"/>
      </w:pPr>
      <w:r>
        <w:t>Earth Engine Sentinel-5P catalogue — https://developers.google.com/earth-engine/datasets/catalog/sentinel-5p</w:t>
      </w:r>
    </w:p>
    <w:p>
      <w:pPr>
        <w:pStyle w:val="ListBullet"/>
        <w:spacing w:after="60"/>
      </w:pPr>
      <w:r>
        <w:t>NASA FIRMS — https://firms.modaps.eosdis.nasa.gov/</w:t>
      </w:r>
    </w:p>
    <w:p>
      <w:pPr>
        <w:pStyle w:val="Heading1"/>
      </w:pPr>
      <w:r>
        <w:t>Appendix A. Local commands</w:t>
      </w:r>
    </w:p>
    <w:tbl>
      <w:tblPr>
        <w:tblW w:type="auto" w:w="0"/>
        <w:tblLook w:firstColumn="1" w:firstRow="1" w:lastColumn="0" w:lastRow="0" w:noHBand="0" w:noVBand="1" w:val="04A0"/>
      </w:tblPr>
      <w:tblGrid>
        <w:gridCol w:w="10142"/>
      </w:tblGrid>
      <w:tr>
        <w:tc>
          <w:tcPr>
            <w:tcW w:type="dxa" w:w="10142"/>
            <w:shd w:fill="F2F4F7"/>
            <w:tcMar>
              <w:top w:w="100" w:type="dxa"/>
              <w:start w:w="120" w:type="dxa"/>
              <w:bottom w:w="100" w:type="dxa"/>
              <w:end w:w="120" w:type="dxa"/>
            </w:tcMar>
          </w:tcPr>
          <w:p>
            <w:r>
              <w:rPr>
                <w:rFonts w:ascii="Consolas" w:hAnsi="Consolas"/>
                <w:sz w:val="17"/>
              </w:rPr>
              <w:t>cd C:\Users\Rupesh\AirSentinel\AirSentinel</w:t>
            </w:r>
          </w:p>
        </w:tc>
      </w:tr>
    </w:tbl>
    <w:p>
      <w:pPr>
        <w:spacing w:after="0"/>
      </w:pPr>
    </w:p>
    <w:tbl>
      <w:tblPr>
        <w:tblW w:type="auto" w:w="0"/>
        <w:tblLook w:firstColumn="1" w:firstRow="1" w:lastColumn="0" w:lastRow="0" w:noHBand="0" w:noVBand="1" w:val="04A0"/>
      </w:tblPr>
      <w:tblGrid>
        <w:gridCol w:w="10142"/>
      </w:tblGrid>
      <w:tr>
        <w:tc>
          <w:tcPr>
            <w:tcW w:type="dxa" w:w="10142"/>
            <w:shd w:fill="F2F4F7"/>
            <w:tcMar>
              <w:top w:w="100" w:type="dxa"/>
              <w:start w:w="120" w:type="dxa"/>
              <w:bottom w:w="100" w:type="dxa"/>
              <w:end w:w="120" w:type="dxa"/>
            </w:tcMar>
          </w:tcPr>
          <w:p>
            <w:r>
              <w:rPr>
                <w:rFonts w:ascii="Consolas" w:hAnsi="Consolas"/>
                <w:sz w:val="17"/>
              </w:rPr>
              <w:t>.\.venv\Scripts\python.exe -m unittest discover -s tests -v</w:t>
            </w:r>
          </w:p>
        </w:tc>
      </w:tr>
    </w:tbl>
    <w:p>
      <w:pPr>
        <w:spacing w:after="0"/>
      </w:pPr>
    </w:p>
    <w:tbl>
      <w:tblPr>
        <w:tblW w:type="auto" w:w="0"/>
        <w:tblLook w:firstColumn="1" w:firstRow="1" w:lastColumn="0" w:lastRow="0" w:noHBand="0" w:noVBand="1" w:val="04A0"/>
      </w:tblPr>
      <w:tblGrid>
        <w:gridCol w:w="10142"/>
      </w:tblGrid>
      <w:tr>
        <w:tc>
          <w:tcPr>
            <w:tcW w:type="dxa" w:w="10142"/>
            <w:shd w:fill="F2F4F7"/>
            <w:tcMar>
              <w:top w:w="100" w:type="dxa"/>
              <w:start w:w="120" w:type="dxa"/>
              <w:bottom w:w="100" w:type="dxa"/>
              <w:end w:w="120" w:type="dxa"/>
            </w:tcMar>
          </w:tcPr>
          <w:p>
            <w:r>
              <w:rPr>
                <w:rFonts w:ascii="Consolas" w:hAnsi="Consolas"/>
                <w:sz w:val="17"/>
              </w:rPr>
              <w:t>.\.venv\Scripts\python.exe -m streamlit run app.py</w:t>
            </w:r>
          </w:p>
        </w:tc>
      </w:tr>
    </w:tbl>
    <w:p>
      <w:pPr>
        <w:spacing w:after="0"/>
      </w:pPr>
    </w:p>
    <w:tbl>
      <w:tblPr>
        <w:tblW w:type="auto" w:w="0"/>
        <w:tblLook w:firstColumn="1" w:firstRow="1" w:lastColumn="0" w:lastRow="0" w:noHBand="0" w:noVBand="1" w:val="04A0"/>
      </w:tblPr>
      <w:tblGrid>
        <w:gridCol w:w="10142"/>
      </w:tblGrid>
      <w:tr>
        <w:tc>
          <w:tcPr>
            <w:tcW w:type="dxa" w:w="10142"/>
            <w:shd w:fill="F2F4F7"/>
            <w:tcMar>
              <w:top w:w="100" w:type="dxa"/>
              <w:start w:w="120" w:type="dxa"/>
              <w:bottom w:w="100" w:type="dxa"/>
              <w:end w:w="120" w:type="dxa"/>
            </w:tcMar>
          </w:tcPr>
          <w:p>
            <w:r>
              <w:rPr>
                <w:rFonts w:ascii="Consolas" w:hAnsi="Consolas"/>
                <w:sz w:val="17"/>
              </w:rPr>
              <w:t>.\.venv\Scripts\python.exe -m streamlit run authority_app.py --server.port 8502</w:t>
            </w:r>
          </w:p>
        </w:tc>
      </w:tr>
    </w:tbl>
    <w:p>
      <w:pPr>
        <w:spacing w:after="0"/>
      </w:pPr>
    </w:p>
    <w:tbl>
      <w:tblPr>
        <w:tblW w:type="auto" w:w="0"/>
        <w:tblLook w:firstColumn="1" w:firstRow="1" w:lastColumn="0" w:lastRow="0" w:noHBand="0" w:noVBand="1" w:val="04A0"/>
      </w:tblPr>
      <w:tblGrid>
        <w:gridCol w:w="10142"/>
      </w:tblGrid>
      <w:tr>
        <w:tc>
          <w:tcPr>
            <w:tcW w:type="dxa" w:w="10142"/>
            <w:shd w:fill="F2F4F7"/>
            <w:tcMar>
              <w:top w:w="100" w:type="dxa"/>
              <w:start w:w="120" w:type="dxa"/>
              <w:bottom w:w="100" w:type="dxa"/>
              <w:end w:w="120" w:type="dxa"/>
            </w:tcMar>
          </w:tcPr>
          <w:p>
            <w:r>
              <w:rPr>
                <w:rFonts w:ascii="Consolas" w:hAnsi="Consolas"/>
                <w:sz w:val="17"/>
              </w:rPr>
              <w:t>.\.venv\Scripts\python.exe -m streamlit run citizen_app.py --server.port 8503</w:t>
            </w:r>
          </w:p>
        </w:tc>
      </w:tr>
    </w:tbl>
    <w:p>
      <w:pPr>
        <w:spacing w:after="0"/>
      </w:pPr>
    </w:p>
    <w:tbl>
      <w:tblPr>
        <w:tblW w:type="auto" w:w="0"/>
        <w:tblLook w:firstColumn="1" w:firstRow="1" w:lastColumn="0" w:lastRow="0" w:noHBand="0" w:noVBand="1" w:val="04A0"/>
      </w:tblPr>
      <w:tblGrid>
        <w:gridCol w:w="10142"/>
      </w:tblGrid>
      <w:tr>
        <w:tc>
          <w:tcPr>
            <w:tcW w:type="dxa" w:w="10142"/>
            <w:shd w:fill="F2F4F7"/>
            <w:tcMar>
              <w:top w:w="100" w:type="dxa"/>
              <w:start w:w="120" w:type="dxa"/>
              <w:bottom w:w="100" w:type="dxa"/>
              <w:end w:w="120" w:type="dxa"/>
            </w:tcMar>
          </w:tcPr>
          <w:p>
            <w:r>
              <w:rPr>
                <w:rFonts w:ascii="Consolas" w:hAnsi="Consolas"/>
                <w:sz w:val="17"/>
              </w:rPr>
              <w:t>.\.venv\Scripts\python.exe -m uvicorn src.api.main:app --port 8000</w:t>
            </w:r>
          </w:p>
        </w:tc>
      </w:tr>
    </w:tbl>
    <w:p>
      <w:pPr>
        <w:spacing w:after="0"/>
      </w:pPr>
    </w:p>
    <w:p>
      <w:pPr>
        <w:pStyle w:val="Heading1"/>
      </w:pPr>
      <w:r>
        <w:t>Appendix B. Submission message</w:t>
      </w:r>
    </w:p>
    <w:tbl>
      <w:tblPr>
        <w:tblW w:type="auto" w:w="0"/>
        <w:jc w:val="center"/>
        <w:tblLook w:firstColumn="1" w:firstRow="1" w:lastColumn="0" w:lastRow="0" w:noHBand="0" w:noVBand="1" w:val="04A0"/>
      </w:tblPr>
      <w:tblGrid>
        <w:gridCol w:w="10142"/>
      </w:tblGrid>
      <w:tr>
        <w:tc>
          <w:tcPr>
            <w:tcW w:type="dxa" w:w="10142"/>
            <w:shd w:fill="E8F5F6"/>
            <w:tcMar>
              <w:top w:w="130" w:type="dxa"/>
              <w:start w:w="170" w:type="dxa"/>
              <w:bottom w:w="130" w:type="dxa"/>
              <w:end w:w="170" w:type="dxa"/>
            </w:tcMar>
          </w:tcPr>
          <w:p>
            <w:pPr>
              <w:spacing w:after="40"/>
            </w:pPr>
            <w:r>
              <w:rPr>
                <w:b/>
                <w:color w:val="123047"/>
                <w:sz w:val="22"/>
              </w:rPr>
              <w:t>AirSentinel</w:t>
            </w:r>
          </w:p>
          <w:p>
            <w:pPr>
              <w:spacing w:after="0"/>
            </w:pPr>
            <w:r>
              <w:t>A locality-aware clean-air early-warning and human-review platform that combines provenance-labelled station data, weather, satellite context and consented community evidence to detect unsupported coverage and unexpected pollution changes, forecast one to four hours ahead, and guide an auditable sustainable response—without inventing hyper-local precision or automating blame.</w:t>
            </w:r>
          </w:p>
        </w:tc>
      </w:tr>
    </w:tbl>
    <w:p>
      <w:pPr>
        <w:spacing w:after="20"/>
      </w:pPr>
    </w:p>
    <w:sectPr w:rsidR="00FC693F" w:rsidRPr="0006063C" w:rsidSect="00034616">
      <w:headerReference w:type="default" r:id="rId9"/>
      <w:footerReference w:type="default" r:id="rId10"/>
      <w:pgSz w:w="12240" w:h="15840"/>
      <w:pgMar w:top="1020"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AIR SENTINEL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AIR SENTINEL  |  CLEAN AIR &amp; CLIMATE RESILIENCE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2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23047"/>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87E8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ptos" w:hAnsi="Aptos"/>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AirSentinel Final Project Report</dc:title>
  <dc:subject>BRICS Track 2 — Clean Air &amp; Climate Resilience</dc:subject>
  <dc:creator>AirSentinel Team</dc:creator>
  <cp:keywords>air quality, sustainability, India, locality, Google Cloud, human review</cp:keywords>
  <dc:description>generated by python-docx</dc:description>
  <cp:lastModifiedBy/>
  <cp:revision>1</cp:revision>
  <dcterms:created xsi:type="dcterms:W3CDTF">2013-12-23T23:15:00Z</dcterms:created>
  <dcterms:modified xsi:type="dcterms:W3CDTF">2013-12-23T23:15:00Z</dcterms:modified>
  <cp:category/>
</cp:coreProperties>
</file>