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after="300"/>
        <w:jc w:val="center"/>
      </w:pPr>
      <w:r>
        <w:rPr>
          <w:rFonts w:ascii="Times New Roman" w:hAnsi="Times New Roman" w:eastAsia="Times New Roman"/>
          <w:b/>
          <w:i w:val="0"/>
          <w:sz w:val="36"/>
        </w:rPr>
        <w:t>DualPriorSeg: Backbone-Agnostic Seam and Overlap Priors for</w:t>
        <w:br/>
        <w:t>Fine-Grained Hand and Wrist Bone Segmentation</w:t>
      </w:r>
    </w:p>
    <w:p>
      <w:pPr>
        <w:spacing w:after="680"/>
        <w:jc w:val="center"/>
      </w:pPr>
      <w:r>
        <w:rPr>
          <w:rFonts w:ascii="Times New Roman" w:hAnsi="Times New Roman" w:eastAsia="Times New Roman"/>
          <w:b/>
          <w:i w:val="0"/>
          <w:sz w:val="24"/>
        </w:rPr>
        <w:t>Anonymous submission</w:t>
      </w:r>
    </w:p>
    <w:p>
      <w:pPr>
        <w:sectPr>
          <w:footerReference w:type="default" r:id="rId9"/>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Abstract</w:t>
      </w:r>
    </w:p>
    <w:p>
      <w:pPr>
        <w:pStyle w:val="BodyText"/>
        <w:keepLines w:val="0"/>
        <w:spacing w:after="0" w:before="0" w:line="240" w:lineRule="auto"/>
        <w:ind w:firstLine="0"/>
        <w:jc w:val="both"/>
      </w:pPr>
      <w:r>
        <w:rPr>
          <w:rFonts w:ascii="Times New Roman" w:hAnsi="Times New Roman" w:eastAsia="Times New Roman"/>
          <w:b w:val="0"/>
          <w:i w:val="0"/>
          <w:sz w:val="18"/>
        </w:rPr>
        <w:t xml:space="preserve">Accurate bone segmentation in hand and wrist radiographs is limited by two complementary structural failure modes: narrow inter-bone gaps can be incorrectly bridged, while projection overlap can obscure or truncate bone membership. Most segmentation networks address these errors implicitly through backbone capacity, making it difficult to preserve fine separation and recover overlap without redesigning the network for a particular dataset. We present DualPriorSeg, a backbone-agnostic dual structural-prior framework that separates these two problems. A seam prior acts at the input side through an identity-initialized residual adapter that suppresses spurious connections near predicted gaps, while an image-conditioned overlap prior guides an output completion refiner that restores structurally plausible foreground or instance membership. The priors operate only through standard image and logit interfaces and therefore do not require access to backbone feature maps. A supervision-availability mask prevents binary-union annotations from being treated as true overlap labels, and primary-gradient-anchored routing limits conflict between structural objectives and the base segmentation loss. We evaluate the framework on pediatric hand radiographs (TSRS) and the RAM-W600 wrist benchmark, and test portability across nnU-Net, TransUNet, and Swin-UMamba. DualPriorSeg achieves </w:t>
      </w:r>
      <w:r>
        <w:rPr>
          <w:rFonts w:ascii="Times New Roman" w:hAnsi="Times New Roman" w:eastAsia="Times New Roman"/>
          <w:b/>
          <w:i w:val="0"/>
          <w:color w:val="C00000"/>
          <w:sz w:val="18"/>
        </w:rPr>
        <w:t>[TBD: final TSRS summary]</w:t>
      </w:r>
      <w:r>
        <w:rPr>
          <w:rFonts w:ascii="Times New Roman" w:hAnsi="Times New Roman" w:eastAsia="Times New Roman"/>
          <w:b w:val="0"/>
          <w:i w:val="0"/>
          <w:sz w:val="18"/>
        </w:rPr>
        <w:t xml:space="preserve"> on TSRS and </w:t>
      </w:r>
      <w:r>
        <w:rPr>
          <w:rFonts w:ascii="Times New Roman" w:hAnsi="Times New Roman" w:eastAsia="Times New Roman"/>
          <w:b/>
          <w:i w:val="0"/>
          <w:color w:val="C00000"/>
          <w:sz w:val="18"/>
        </w:rPr>
        <w:t>[TBD: final RAM summary]</w:t>
      </w:r>
      <w:r>
        <w:rPr>
          <w:rFonts w:ascii="Times New Roman" w:hAnsi="Times New Roman" w:eastAsia="Times New Roman"/>
          <w:b w:val="0"/>
          <w:i w:val="0"/>
          <w:sz w:val="18"/>
        </w:rPr>
        <w:t xml:space="preserve"> on RAM-W600, while preserving competitive global overlap accuracy. These results support structural priors as a reusable interface for improving fine-grained bone segmentation without committing to a single backbone.</w:t>
      </w:r>
    </w:p>
    <w:p>
      <w:pPr>
        <w:keepNext/>
        <w:spacing w:before="100" w:after="30"/>
        <w:jc w:val="center"/>
      </w:pPr>
      <w:r>
        <w:rPr>
          <w:rFonts w:ascii="Times New Roman" w:hAnsi="Times New Roman" w:eastAsia="Times New Roman"/>
          <w:b/>
          <w:i w:val="0"/>
          <w:sz w:val="22"/>
        </w:rPr>
        <w:t>Introduction</w:t>
      </w:r>
    </w:p>
    <w:p>
      <w:pPr>
        <w:pStyle w:val="BodyText"/>
        <w:keepLines w:val="0"/>
        <w:spacing w:after="0" w:before="0" w:line="240" w:lineRule="auto"/>
        <w:ind w:firstLine="230"/>
        <w:jc w:val="both"/>
      </w:pPr>
      <w:r>
        <w:rPr>
          <w:rFonts w:ascii="Times New Roman" w:hAnsi="Times New Roman" w:eastAsia="Times New Roman"/>
          <w:b w:val="0"/>
          <w:i w:val="0"/>
          <w:sz w:val="18"/>
        </w:rPr>
        <w:t>Hand and wrist radiographs contain dense collections of small bones whose projected appearance changes with anatomy, age, positioning, and disease. Accurate segmentation of these structures is important for quantitative assessment of skeletal development, joint-space morphology, bone erosion, deformity, fracture, and other musculoskeletal conditions. Yet the task remains difficult even for strong medical-segmentation systems because the errors that matter most are often local: a few pixels can close a narrow gap between adjacent bones, while superimposed structures may lose visible boundary evidence and be under-segmented. These local errors can be clinically and anatomically meaningful even when the global Dice score changes only slightly.</w:t>
      </w:r>
    </w:p>
    <w:p>
      <w:pPr>
        <w:pStyle w:val="BodyText"/>
        <w:keepLines w:val="0"/>
        <w:spacing w:after="0" w:before="0" w:line="240" w:lineRule="auto"/>
        <w:ind w:firstLine="230"/>
        <w:jc w:val="both"/>
      </w:pPr>
      <w:r>
        <w:rPr>
          <w:rFonts w:ascii="Times New Roman" w:hAnsi="Times New Roman" w:eastAsia="Times New Roman"/>
          <w:b w:val="0"/>
          <w:i w:val="0"/>
          <w:sz w:val="18"/>
        </w:rPr>
        <w:t>Modern segmentation backbones such as U-Net variants, nnU-Net, Transformer hybrids, and state-space models provide strong generic representations (Ronneberger, Fischer, and Brox 2015; Isensee et al. 2021; Chen et al. 2021; Liu et al. 2024). Their strength, however, does not explicitly distinguish two opposite structural corrections. Separation errors require discouraging foreground where two neighboring bones should remain distinct; overlap errors require restoring membership where projection ambiguity hides part of a bone. Applying the same local correction to both situations risks trading one failure mode for the other.</w:t>
      </w:r>
    </w:p>
    <w:p>
      <w:pPr>
        <w:pStyle w:val="BodyText"/>
        <w:keepLines w:val="0"/>
        <w:spacing w:after="0" w:before="0" w:line="240" w:lineRule="auto"/>
        <w:ind w:firstLine="230"/>
        <w:jc w:val="both"/>
      </w:pPr>
      <w:r>
        <w:rPr>
          <w:rFonts w:ascii="Times New Roman" w:hAnsi="Times New Roman" w:eastAsia="Times New Roman"/>
          <w:b w:val="0"/>
          <w:i w:val="0"/>
          <w:sz w:val="18"/>
        </w:rPr>
        <w:t>The two datasets considered in this work expose this complementarity. TSRS contains pediatric hand radiographs spanning different developmental stages, where the number and appearance of ossification centers vary and narrow bone gaps are a recurring segmentation challenge. RAM-W600 is a public wrist-radiograph benchmark with pixel-level annotations for 14 bone structures and frequent anatomical overlap in the carpal region (Yang et al. 2026). The former motivates explicit separation cues, whereas the latter provides genuine multi-label supervision for learning overlap-aware completion. A unified method should exploit both signals without pretending that every dataset contains the same annotation semantics.</w:t>
      </w:r>
    </w:p>
    <w:p>
      <w:pPr>
        <w:pStyle w:val="BodyText"/>
        <w:keepLines w:val="0"/>
        <w:spacing w:after="0" w:before="0" w:line="240" w:lineRule="auto"/>
        <w:ind w:firstLine="230"/>
        <w:jc w:val="both"/>
      </w:pPr>
      <w:r>
        <w:rPr>
          <w:rFonts w:ascii="Times New Roman" w:hAnsi="Times New Roman" w:eastAsia="Times New Roman"/>
          <w:b w:val="0"/>
          <w:i w:val="0"/>
          <w:sz w:val="18"/>
        </w:rPr>
        <w:t>We address this problem with DualPriorSeg, a dual structural-prior interface placed around an otherwise generic segmentation backbone. The input-side seam prior is converted into a bounded image residual and is strongest where separation evidence is high and overlap evidence is weak. The output-side completion prior refines backbone logits using the image, the current member probability, context from other members, local uncertainty, image gradients, and the interaction between seam and overlap evidence. Neither prior requires internal backbone feature maps. Consequently, the same modules can be reused with convolutional, Transformer, or Mamba-style segmentation architectures by replacing only a thin input/output adapter.</w:t>
      </w:r>
    </w:p>
    <w:p>
      <w:pPr>
        <w:pStyle w:val="BodyText"/>
        <w:keepLines w:val="0"/>
        <w:spacing w:after="0" w:before="0" w:line="240" w:lineRule="auto"/>
        <w:ind w:firstLine="230"/>
        <w:jc w:val="both"/>
      </w:pPr>
      <w:r>
        <w:rPr>
          <w:rFonts w:ascii="Times New Roman" w:hAnsi="Times New Roman" w:eastAsia="Times New Roman"/>
          <w:b w:val="0"/>
          <w:i w:val="0"/>
          <w:sz w:val="18"/>
        </w:rPr>
        <w:t>A second design goal is supervision correctness. RAM-W600 supplies independent bone masks, so pixels belonging to multiple bones provide observable overlap targets. TSRS is trained as a foreground-union segmentation task; a union mask cannot reveal whether a foreground pixel belongs to more than one anatomical instance. We therefore treat overlap membership on TSRS as unknown rather than negative. The overlap prior may still transfer as a weak image-conditioned cue, but the overlap loss is masked when membership is not observed. We further use a preservation term and parameter-space gradient routing to prevent auxiliary structural objectives from overwhelming the base segmentation objective.</w:t>
      </w:r>
    </w:p>
    <w:p>
      <w:pPr>
        <w:pStyle w:val="BodyText"/>
        <w:keepLines w:val="0"/>
        <w:spacing w:after="0" w:before="0" w:line="240" w:lineRule="auto"/>
        <w:ind w:firstLine="230"/>
        <w:jc w:val="both"/>
      </w:pPr>
      <w:r>
        <w:rPr>
          <w:rFonts w:ascii="Times New Roman" w:hAnsi="Times New Roman" w:eastAsia="Times New Roman"/>
          <w:b w:val="0"/>
          <w:i w:val="0"/>
          <w:sz w:val="18"/>
        </w:rPr>
        <w:t>The resulting framework is intentionally not a new backbone. Its purpose is to test whether structural information can be attached to multiple strong segmentation systems in a controlled and reusable way. Following the evaluation style of recent medical image-analysis work, we combine overlap and boundary/surface metrics rather than relying on a single scalar measure (Cheng et al. 2021; Nikolov et al. 2018; Maier-Hein et al. 2024). Final experiments use matched training controls so that gains cannot be attributed merely to additional fine-tuning.</w:t>
      </w:r>
    </w:p>
    <w:p>
      <w:pPr>
        <w:pStyle w:val="BodyText"/>
        <w:keepLines w:val="0"/>
        <w:spacing w:after="0" w:before="0" w:line="240" w:lineRule="auto"/>
        <w:ind w:firstLine="0"/>
        <w:jc w:val="both"/>
      </w:pPr>
      <w:r>
        <w:rPr>
          <w:rFonts w:ascii="Times New Roman" w:hAnsi="Times New Roman" w:eastAsia="Times New Roman"/>
          <w:b w:val="0"/>
          <w:i w:val="0"/>
          <w:sz w:val="18"/>
        </w:rPr>
        <w:t>Our contributions are as follows:</w:t>
      </w:r>
    </w:p>
    <w:p>
      <w:pPr>
        <w:pStyle w:val="BodyText"/>
        <w:spacing w:after="10"/>
        <w:ind w:left="202" w:hanging="144"/>
        <w:jc w:val="both"/>
      </w:pPr>
      <w:r>
        <w:rPr>
          <w:rFonts w:ascii="Times New Roman" w:hAnsi="Times New Roman" w:eastAsia="Times New Roman"/>
          <w:b/>
          <w:i w:val="0"/>
          <w:sz w:val="18"/>
        </w:rPr>
        <w:t xml:space="preserve">• </w:t>
      </w:r>
      <w:r>
        <w:rPr>
          <w:rFonts w:ascii="Times New Roman" w:hAnsi="Times New Roman" w:eastAsia="Times New Roman"/>
          <w:b w:val="0"/>
          <w:i w:val="0"/>
          <w:sz w:val="18"/>
        </w:rPr>
        <w:t>We formulate fine-grained hand and wrist bone segmentation as two complementary structural correction problems and introduce a dual-prior interface with an input-side seam adapter and an output-side overlap completion refiner.</w:t>
      </w:r>
    </w:p>
    <w:p>
      <w:pPr>
        <w:pStyle w:val="BodyText"/>
        <w:spacing w:after="10"/>
        <w:ind w:left="202" w:hanging="144"/>
        <w:jc w:val="both"/>
      </w:pPr>
      <w:r>
        <w:rPr>
          <w:rFonts w:ascii="Times New Roman" w:hAnsi="Times New Roman" w:eastAsia="Times New Roman"/>
          <w:b/>
          <w:i w:val="0"/>
          <w:sz w:val="18"/>
        </w:rPr>
        <w:t xml:space="preserve">• </w:t>
      </w:r>
      <w:r>
        <w:rPr>
          <w:rFonts w:ascii="Times New Roman" w:hAnsi="Times New Roman" w:eastAsia="Times New Roman"/>
          <w:b w:val="0"/>
          <w:i w:val="0"/>
          <w:sz w:val="18"/>
        </w:rPr>
        <w:t>We make the framework supervision-aware: true multi-membership is learned from RAM-W600, while TSRS overlap membership is explicitly treated as unknown; a preservation objective and primary-gradient-anchored routing protect the base segmentation behavior.</w:t>
      </w:r>
    </w:p>
    <w:p>
      <w:pPr>
        <w:pStyle w:val="BodyText"/>
        <w:spacing w:after="10"/>
        <w:ind w:left="202" w:hanging="144"/>
        <w:jc w:val="both"/>
      </w:pPr>
      <w:r>
        <w:rPr>
          <w:rFonts w:ascii="Times New Roman" w:hAnsi="Times New Roman" w:eastAsia="Times New Roman"/>
          <w:b/>
          <w:i w:val="0"/>
          <w:sz w:val="18"/>
        </w:rPr>
        <w:t xml:space="preserve">• </w:t>
      </w:r>
      <w:r>
        <w:rPr>
          <w:rFonts w:ascii="Times New Roman" w:hAnsi="Times New Roman" w:eastAsia="Times New Roman"/>
          <w:b w:val="0"/>
          <w:i w:val="0"/>
          <w:sz w:val="18"/>
        </w:rPr>
        <w:t xml:space="preserve">We design the priors around standard image/logit contracts rather than internal backbone features and evaluate portability across nnU-Net, TransUNet, and Swin-UMamba on two radiographic datasets using standard overlap, boundary, and surface metrics. Final quantitative gains are reported in </w:t>
      </w:r>
      <w:r>
        <w:rPr>
          <w:rFonts w:ascii="Times New Roman" w:hAnsi="Times New Roman" w:eastAsia="Times New Roman"/>
          <w:b/>
          <w:i w:val="0"/>
          <w:color w:val="C00000"/>
          <w:sz w:val="18"/>
        </w:rPr>
        <w:t>[TBD: Tables 1–4]</w:t>
      </w:r>
      <w:r>
        <w:rPr>
          <w:rFonts w:ascii="Times New Roman" w:hAnsi="Times New Roman" w:eastAsia="Times New Roman"/>
          <w:b w:val="0"/>
          <w:i w:val="0"/>
          <w:sz w:val="18"/>
        </w:rPr>
        <w:t>.</w:t>
      </w:r>
    </w:p>
    <w:p>
      <w:pPr>
        <w:keepNext/>
        <w:spacing w:before="100" w:after="30"/>
        <w:jc w:val="center"/>
      </w:pPr>
      <w:r>
        <w:rPr>
          <w:rFonts w:ascii="Times New Roman" w:hAnsi="Times New Roman" w:eastAsia="Times New Roman"/>
          <w:b/>
          <w:i w:val="0"/>
          <w:sz w:val="22"/>
        </w:rPr>
        <w:t>Related Work</w:t>
      </w:r>
    </w:p>
    <w:p>
      <w:pPr>
        <w:keepNext/>
        <w:spacing w:before="60" w:after="30"/>
        <w:jc w:val="left"/>
      </w:pPr>
      <w:r>
        <w:rPr>
          <w:rFonts w:ascii="Times New Roman" w:hAnsi="Times New Roman" w:eastAsia="Times New Roman"/>
          <w:b/>
          <w:i w:val="0"/>
          <w:sz w:val="19"/>
        </w:rPr>
        <w:t xml:space="preserve">Medical image segmentation backbones. </w:t>
      </w:r>
    </w:p>
    <w:p>
      <w:pPr>
        <w:pStyle w:val="BodyText"/>
        <w:keepLines w:val="0"/>
        <w:spacing w:after="0" w:before="0" w:line="240" w:lineRule="auto"/>
        <w:ind w:firstLine="230"/>
        <w:jc w:val="both"/>
      </w:pPr>
      <w:r>
        <w:rPr>
          <w:rFonts w:ascii="Times New Roman" w:hAnsi="Times New Roman" w:eastAsia="Times New Roman"/>
          <w:b w:val="0"/>
          <w:i w:val="0"/>
          <w:sz w:val="18"/>
        </w:rPr>
        <w:t>U-Net established the encoder-decoder architecture with skip connections as a dominant design for biomedical segmentation (Ronneberger, Fischer, and Brox 2015). nnU-Net subsequently showed that carefully configured preprocessing, architecture, training, and inference can provide a strong self-configuring baseline across heterogeneous medical tasks (Isensee et al. 2021). Transformer hybrids such as TransUNet combine convolutional localization with long-range self-attention (Chen et al. 2021), while more recent state-space architectures such as Swin-UMamba target global context with reduced computational cost (Liu et al. 2024). These models differ substantially in internal representation, making them useful for testing whether a prior is genuinely portable rather than tied to one feature hierarchy.</w:t>
      </w:r>
    </w:p>
    <w:p>
      <w:pPr>
        <w:keepNext/>
        <w:spacing w:before="60" w:after="30"/>
        <w:jc w:val="left"/>
      </w:pPr>
      <w:r>
        <w:rPr>
          <w:rFonts w:ascii="Times New Roman" w:hAnsi="Times New Roman" w:eastAsia="Times New Roman"/>
          <w:b/>
          <w:i w:val="0"/>
          <w:sz w:val="19"/>
        </w:rPr>
        <w:t xml:space="preserve">Hand and wrist bone segmentation.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Wrist segmentation is challenging because the carpal region contains many small, closely spaced and frequently superimposed structures. RAM-W600 provides a recent public benchmark for this setting, including 1,048 wrist radiographs from 388 patients and pixel-level instance annotations for 618 images; its segmentation task includes 14 bone masks and reports both overlap and boundary-sensitive performance (Yang et al. 2026). The official benchmark further shows that strong supervised medical-segmentation architectures remain important for this anatomy. Pediatric hand radiographs add a different difficulty: ossification centers emerge and change with age, so the apparent number, size, and spacing of structures are not fixed. </w:t>
      </w:r>
      <w:r>
        <w:rPr>
          <w:rFonts w:ascii="Times New Roman" w:hAnsi="Times New Roman" w:eastAsia="Times New Roman"/>
          <w:b/>
          <w:i w:val="0"/>
          <w:color w:val="C00000"/>
          <w:sz w:val="18"/>
        </w:rPr>
        <w:t>[TBD: insert formal TSRS dataset citation and final dataset description.]</w:t>
      </w:r>
    </w:p>
    <w:p>
      <w:pPr>
        <w:keepNext/>
        <w:spacing w:before="60" w:after="30"/>
        <w:jc w:val="left"/>
      </w:pPr>
      <w:r>
        <w:rPr>
          <w:rFonts w:ascii="Times New Roman" w:hAnsi="Times New Roman" w:eastAsia="Times New Roman"/>
          <w:b/>
          <w:i w:val="0"/>
          <w:sz w:val="19"/>
        </w:rPr>
        <w:t xml:space="preserve">Structural and boundary-aware priors. </w:t>
      </w:r>
    </w:p>
    <w:p>
      <w:pPr>
        <w:pStyle w:val="BodyText"/>
        <w:keepLines w:val="0"/>
        <w:spacing w:after="0" w:before="0" w:line="240" w:lineRule="auto"/>
        <w:ind w:firstLine="230"/>
        <w:jc w:val="both"/>
      </w:pPr>
      <w:r>
        <w:rPr>
          <w:rFonts w:ascii="Times New Roman" w:hAnsi="Times New Roman" w:eastAsia="Times New Roman"/>
          <w:b w:val="0"/>
          <w:i w:val="0"/>
          <w:sz w:val="18"/>
        </w:rPr>
        <w:t>Overlap-based losses are effective for global mask agreement but can under-emphasize local contour errors. Boundary IoU was proposed to increase sensitivity to segmentation boundaries (Cheng et al. 2021), and surface Dice evaluates contour agreement within a tolerance band (Nikolov et al. 2018). Boundary-aware losses and topology-oriented objectives have likewise been explored to encode geometric preferences. Our focus differs: instead of replacing the standard segmentation objective, we supply explicit, spatially localized structural priors around a generic backbone. One prior discourages false bridges, while the other encourages completion under projection overlap. The priors are allowed to disagree locally, so optimization must preserve the primary segmentation gradient rather than treating all objectives symmetrically.</w:t>
      </w:r>
    </w:p>
    <w:p>
      <w:pPr>
        <w:keepNext/>
        <w:spacing w:before="60" w:after="30"/>
        <w:jc w:val="left"/>
      </w:pPr>
      <w:r>
        <w:rPr>
          <w:rFonts w:ascii="Times New Roman" w:hAnsi="Times New Roman" w:eastAsia="Times New Roman"/>
          <w:b/>
          <w:i w:val="0"/>
          <w:sz w:val="19"/>
        </w:rPr>
        <w:t xml:space="preserve">Gradient conflict in multi-objective learning. </w:t>
      </w:r>
    </w:p>
    <w:p>
      <w:pPr>
        <w:pStyle w:val="BodyText"/>
        <w:keepLines w:val="0"/>
        <w:spacing w:after="0" w:before="0" w:line="240" w:lineRule="auto"/>
        <w:ind w:firstLine="230"/>
        <w:jc w:val="both"/>
      </w:pPr>
      <w:r>
        <w:rPr>
          <w:rFonts w:ascii="Times New Roman" w:hAnsi="Times New Roman" w:eastAsia="Times New Roman"/>
          <w:b w:val="0"/>
          <w:i w:val="0"/>
          <w:sz w:val="18"/>
        </w:rPr>
        <w:t>Auxiliary objectives can improve representation learning but may also oppose the primary task. Gradient-surgery approaches project conflicting gradients to reduce destructive interference (Yu et al. 2020). DualPriorSeg adopts an asymmetric variant suited to a mature segmentation system: the base segmentation gradient is the anchor, conflicting auxiliary gradients are projected away from its opposing component, and each auxiliary contribution is norm-capped. This routing is a local optimization safeguard, not a guarantee of non-degradation; final acceptance is determined empirically on held-out validation data.</w:t>
      </w:r>
    </w:p>
    <w:p>
      <w:pPr>
        <w:sectPr>
          <w:type w:val="continuous"/>
          <w:pgSz w:w="12240" w:h="15840"/>
          <w:pgMar w:top="922" w:right="965" w:bottom="893" w:left="965" w:header="360" w:footer="360" w:gutter="0"/>
          <w:cols w:space="280" w:num="2"/>
          <w:docGrid w:linePitch="360"/>
        </w:sectPr>
      </w:pPr>
    </w:p>
    <w:tbl>
      <w:tblPr>
        <w:tblW w:type="auto" w:w="0"/>
        <w:jc w:val="center"/>
        <w:tblLayout w:type="fixed"/>
        <w:tblLook w:firstColumn="1" w:firstRow="1" w:lastColumn="0" w:lastRow="0" w:noHBand="0" w:noVBand="1" w:val="04A0"/>
      </w:tblPr>
      <w:tblGrid>
        <w:gridCol w:w="10310"/>
      </w:tblGrid>
      <w:tr>
        <w:trPr>
          <w:trHeight w:val="3240" w:hRule="atLeast"/>
        </w:trPr>
        <w:tc>
          <w:tcPr>
            <w:tcW w:type="dxa" w:w="10080"/>
            <w:vAlign w:val="center"/>
            <w:shd w:fill="F3F3F3"/>
            <w:tcMar>
              <w:top w:w="100" w:type="dxa"/>
              <w:start w:w="100" w:type="dxa"/>
              <w:bottom w:w="100" w:type="dxa"/>
              <w:end w:w="100" w:type="dxa"/>
            </w:tcMar>
          </w:tcPr>
          <w:p>
            <w:pPr>
              <w:jc w:val="center"/>
            </w:pPr>
            <w:r>
              <w:rPr>
                <w:rFonts w:ascii="Times New Roman" w:hAnsi="Times New Roman" w:eastAsia="Times New Roman"/>
                <w:b/>
                <w:i w:val="0"/>
                <w:color w:val="787878"/>
                <w:sz w:val="20"/>
              </w:rPr>
              <w:t>[TBD FIGURE 1]</w:t>
              <w:br/>
              <w:t>TSRS seam failure / RAM overlap failure / corrected predictions</w:t>
            </w:r>
          </w:p>
        </w:tc>
      </w:tr>
    </w:tbl>
    <w:p>
      <w:pPr>
        <w:spacing w:before="40" w:after="60"/>
        <w:jc w:val="both"/>
      </w:pPr>
      <w:r>
        <w:rPr>
          <w:rFonts w:ascii="Times New Roman" w:hAnsi="Times New Roman" w:eastAsia="Times New Roman"/>
          <w:b w:val="0"/>
          <w:i w:val="0"/>
          <w:sz w:val="17"/>
        </w:rPr>
        <w:t>Figure 1: Representative hand and wrist segmentation failure modes. The final figure should show a TSRS case with a narrow inter-bone gap and a RAM-W600 case with projection overlap, together with backbone and DualPriorSeg predictions. Cases must be selected without test-set cherry-picking.</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Method</w:t>
      </w:r>
    </w:p>
    <w:p>
      <w:pPr>
        <w:pStyle w:val="BodyText"/>
        <w:keepLines w:val="0"/>
        <w:spacing w:after="0" w:before="0" w:line="240" w:lineRule="auto"/>
        <w:ind w:firstLine="230"/>
        <w:jc w:val="both"/>
      </w:pPr>
      <w:r>
        <w:rPr>
          <w:rFonts w:ascii="Times New Roman" w:hAnsi="Times New Roman" w:eastAsia="Times New Roman"/>
          <w:b w:val="0"/>
          <w:i w:val="0"/>
          <w:sz w:val="18"/>
        </w:rPr>
        <w:t>DualPriorSeg surrounds a segmentation backbone with two complementary structural modules. The seam branch acts before the backbone and is intended to reduce false bridges; the overlap branch acts after the backbone and is intended to recover missing or ambiguous membership. Figure 2 summarizes the data flow. No ground-truth mask is used in the inference path.</w:t>
      </w:r>
    </w:p>
    <w:p>
      <w:pPr>
        <w:keepNext/>
        <w:spacing w:before="60" w:after="30"/>
        <w:jc w:val="left"/>
      </w:pPr>
      <w:r>
        <w:rPr>
          <w:rFonts w:ascii="Times New Roman" w:hAnsi="Times New Roman" w:eastAsia="Times New Roman"/>
          <w:b/>
          <w:i w:val="0"/>
          <w:sz w:val="19"/>
        </w:rPr>
        <w:t xml:space="preserve">Problem Formulation. </w:t>
      </w:r>
    </w:p>
    <w:p>
      <w:pPr>
        <w:pStyle w:val="BodyText"/>
        <w:keepLines w:val="0"/>
        <w:spacing w:after="0" w:before="0" w:line="240" w:lineRule="auto"/>
        <w:ind w:firstLine="230"/>
        <w:jc w:val="both"/>
      </w:pPr>
      <w:r>
        <w:rPr>
          <w:rFonts w:ascii="Times New Roman" w:hAnsi="Times New Roman" w:eastAsia="Times New Roman"/>
          <w:b w:val="0"/>
          <w:i w:val="0"/>
          <w:sz w:val="18"/>
        </w:rPr>
        <w:t>Let x ∈ R^{1×H×W} denote a radiograph and let fθ denote an arbitrary segmentation backbone. For union segmentation, the backbone predicts foreground logits z ∈ R^{1×H×W}; for multi-label wrist segmentation, z ∈ R^{C×H×W}, with C bone members. Let s ∈ [0,1]^{1×H×W} be a frozen, GT-free seam prior and o ∈ [0,1]^{1×H×W} an image-conditioned overlap probability. The proposed model computes an adapted image x̃, backbone logits z, and refined logits ẑ without accessing the internal feature maps of fθ.</w:t>
      </w:r>
    </w:p>
    <w:p>
      <w:pPr>
        <w:keepNext/>
        <w:spacing w:before="60" w:after="30"/>
        <w:jc w:val="left"/>
      </w:pPr>
      <w:r>
        <w:rPr>
          <w:rFonts w:ascii="Times New Roman" w:hAnsi="Times New Roman" w:eastAsia="Times New Roman"/>
          <w:b/>
          <w:i w:val="0"/>
          <w:sz w:val="19"/>
        </w:rPr>
        <w:t xml:space="preserve">Seam Prior and Input Adaptation. </w:t>
      </w:r>
    </w:p>
    <w:p>
      <w:pPr>
        <w:pStyle w:val="BodyText"/>
        <w:keepLines w:val="0"/>
        <w:spacing w:after="0" w:before="0" w:line="240" w:lineRule="auto"/>
        <w:ind w:firstLine="230"/>
        <w:jc w:val="both"/>
      </w:pPr>
      <w:r>
        <w:rPr>
          <w:rFonts w:ascii="Times New Roman" w:hAnsi="Times New Roman" w:eastAsia="Times New Roman"/>
          <w:b w:val="0"/>
          <w:i w:val="0"/>
          <w:sz w:val="18"/>
        </w:rPr>
        <w:t>The seam prior represents local evidence that nearby foreground structures should remain separated. It is produced independently of the final backbone from image-derived center/geometry proposals and a frozen relation model. Because pediatric anatomy varies with development, the prior is image-conditioned rather than tied to a fixed number of bones. At inference the prior is available without ground truth.</w:t>
      </w:r>
    </w:p>
    <w:p>
      <w:pPr>
        <w:pStyle w:val="BodyText"/>
        <w:keepLines w:val="0"/>
        <w:spacing w:after="0" w:before="0" w:line="240" w:lineRule="auto"/>
        <w:ind w:firstLine="230"/>
        <w:jc w:val="both"/>
      </w:pPr>
      <w:r>
        <w:rPr>
          <w:rFonts w:ascii="Times New Roman" w:hAnsi="Times New Roman" w:eastAsia="Times New Roman"/>
          <w:b w:val="0"/>
          <w:i w:val="0"/>
          <w:sz w:val="18"/>
        </w:rPr>
        <w:t>A small residual adapter gφ takes the image, normalized seam prior, and overlap probability. Its last convolution is zero-initialized so the complete model starts as an identity transformation. The adapted image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Cambria Math" w:hAnsi="Cambria Math" w:eastAsia="Cambria Math"/>
                <w:b w:val="0"/>
                <w:i w:val="0"/>
                <w:sz w:val="19"/>
              </w:rPr>
              <w:t>x̃ = x + α tanh(gφ([x, s, o])) ⊙ s ⊙ (1 − o),</w:t>
            </w:r>
          </w:p>
        </w:tc>
        <w:tc>
          <w:tcPr>
            <w:tcW w:type="dxa" w:w="5155"/>
            <w:vAlign w:val="center"/>
            <w:tcMar>
              <w:top w:w="0" w:type="dxa"/>
              <w:start w:w="0" w:type="dxa"/>
              <w:bottom w:w="0" w:type="dxa"/>
              <w:end w:w="0" w:type="dxa"/>
            </w:tcMar>
          </w:tcPr>
          <w:p>
            <w:pPr>
              <w:jc w:val="right"/>
            </w:pPr>
            <w:r>
              <w:rPr>
                <w:rFonts w:ascii="Times New Roman" w:hAnsi="Times New Roman" w:eastAsia="Times New Roman"/>
                <w:b w:val="0"/>
                <w:i w:val="0"/>
                <w:sz w:val="18"/>
              </w:rPr>
              <w:t>(1)</w:t>
            </w:r>
          </w:p>
        </w:tc>
      </w:tr>
    </w:tbl>
    <w:p>
      <w:pPr>
        <w:pStyle w:val="BodyText"/>
        <w:keepLines w:val="0"/>
        <w:spacing w:after="0" w:before="0" w:line="240" w:lineRule="auto"/>
        <w:ind w:firstLine="230"/>
        <w:jc w:val="both"/>
      </w:pPr>
      <w:r>
        <w:rPr>
          <w:rFonts w:ascii="Times New Roman" w:hAnsi="Times New Roman" w:eastAsia="Times New Roman"/>
          <w:b w:val="0"/>
          <w:i w:val="0"/>
          <w:sz w:val="18"/>
        </w:rPr>
        <w:t>where α bounds the maximum image perturbation (0.10 in the current implementation), [·] denotes channel concatenation, and ⊙ is element-wise multiplication. The factor s(1−o) makes separation corrections strongest where seam evidence is high but overlap evidence is low, reducing the risk of suppressing genuinely superimposed anatomy.</w:t>
      </w:r>
    </w:p>
    <w:p>
      <w:pPr>
        <w:keepNext/>
        <w:spacing w:before="60" w:after="30"/>
        <w:jc w:val="left"/>
      </w:pPr>
      <w:r>
        <w:rPr>
          <w:rFonts w:ascii="Times New Roman" w:hAnsi="Times New Roman" w:eastAsia="Times New Roman"/>
          <w:b/>
          <w:i w:val="0"/>
          <w:sz w:val="19"/>
        </w:rPr>
        <w:t xml:space="preserve">Image-Conditioned Overlap Prior. </w:t>
      </w:r>
    </w:p>
    <w:p>
      <w:pPr>
        <w:pStyle w:val="BodyText"/>
        <w:keepLines w:val="0"/>
        <w:spacing w:after="0" w:before="0" w:line="240" w:lineRule="auto"/>
        <w:ind w:firstLine="230"/>
        <w:jc w:val="both"/>
      </w:pPr>
      <w:r>
        <w:rPr>
          <w:rFonts w:ascii="Times New Roman" w:hAnsi="Times New Roman" w:eastAsia="Times New Roman"/>
          <w:b w:val="0"/>
          <w:i w:val="0"/>
          <w:sz w:val="18"/>
        </w:rPr>
        <w:t>The overlap prior hω predicts a dense probability map from the radiograph and the seam map. It uses a lightweight convolutional network operating on a fixed low-resolution representation and is therefore independent of the feature resolution of the downstream segmentation backbone. The network is trained on RAM-W600, where independent member masks make true projection overlap observable. For a multi-label target y = {y_c}_{c=1}^C, the overlap target is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Cambria Math" w:hAnsi="Cambria Math" w:eastAsia="Cambria Math"/>
                <w:b w:val="0"/>
                <w:i w:val="0"/>
                <w:sz w:val="19"/>
              </w:rPr>
              <w:t>O(p) = 1 [ Σ_c y_c(p) ≥ 2 ].</w:t>
            </w:r>
          </w:p>
        </w:tc>
        <w:tc>
          <w:tcPr>
            <w:tcW w:type="dxa" w:w="5155"/>
            <w:vAlign w:val="center"/>
            <w:tcMar>
              <w:top w:w="0" w:type="dxa"/>
              <w:start w:w="0" w:type="dxa"/>
              <w:bottom w:w="0" w:type="dxa"/>
              <w:end w:w="0" w:type="dxa"/>
            </w:tcMar>
          </w:tcPr>
          <w:p>
            <w:pPr>
              <w:jc w:val="right"/>
            </w:pPr>
            <w:r>
              <w:rPr>
                <w:rFonts w:ascii="Times New Roman" w:hAnsi="Times New Roman" w:eastAsia="Times New Roman"/>
                <w:b w:val="0"/>
                <w:i w:val="0"/>
                <w:sz w:val="18"/>
              </w:rPr>
              <w:t>(2)</w:t>
            </w:r>
          </w:p>
        </w:tc>
      </w:tr>
    </w:tbl>
    <w:p>
      <w:pPr>
        <w:pStyle w:val="BodyText"/>
        <w:keepLines w:val="0"/>
        <w:spacing w:after="0" w:before="0" w:line="240" w:lineRule="auto"/>
        <w:ind w:firstLine="230"/>
        <w:jc w:val="both"/>
      </w:pPr>
      <w:r>
        <w:rPr>
          <w:rFonts w:ascii="Times New Roman" w:hAnsi="Times New Roman" w:eastAsia="Times New Roman"/>
          <w:b w:val="0"/>
          <w:i w:val="0"/>
          <w:sz w:val="18"/>
        </w:rPr>
        <w:t>On TSRS, the foreground-union label does not expose simultaneous membership. We therefore do not reinterpret foreground pixels as overlap labels and do not train a strong TSRS overlap objective. Instead, the RAM-trained predictor is used only as a transferred weak prior in the forward path. This distinction is central to the annotation semantics of the framework.</w:t>
      </w:r>
    </w:p>
    <w:p>
      <w:pPr>
        <w:keepNext/>
        <w:spacing w:before="60" w:after="30"/>
        <w:jc w:val="left"/>
      </w:pPr>
      <w:r>
        <w:rPr>
          <w:rFonts w:ascii="Times New Roman" w:hAnsi="Times New Roman" w:eastAsia="Times New Roman"/>
          <w:b/>
          <w:i w:val="0"/>
          <w:sz w:val="19"/>
        </w:rPr>
        <w:t xml:space="preserve">Output Completion Refinement. </w:t>
      </w:r>
    </w:p>
    <w:p>
      <w:pPr>
        <w:pStyle w:val="BodyText"/>
        <w:keepLines w:val="0"/>
        <w:spacing w:after="0" w:before="0" w:line="240" w:lineRule="auto"/>
        <w:ind w:firstLine="230"/>
        <w:jc w:val="both"/>
      </w:pPr>
      <w:r>
        <w:rPr>
          <w:rFonts w:ascii="Times New Roman" w:hAnsi="Times New Roman" w:eastAsia="Times New Roman"/>
          <w:b w:val="0"/>
          <w:i w:val="0"/>
          <w:sz w:val="18"/>
        </w:rPr>
        <w:t>After the backbone, a shared completion refiner Rψ operates on each foreground member. For each member it receives the radiograph, that member’s current probability, summary statistics of the remaining members, predictive uncertainty, an image-gradient map, and the interaction context c = s(1−o). The same refiner parameters are reused across members, including the single foreground member in a union-segmentation task. A residual output head is initialized to zero, so the starting prediction exactly matches the backbone.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Cambria Math" w:hAnsi="Cambria Math" w:eastAsia="Cambria Math"/>
                <w:b w:val="0"/>
                <w:i w:val="0"/>
                <w:sz w:val="19"/>
              </w:rPr>
              <w:t>ẑ_c = z_c + Rψ(x, σ(z_c), context_{−c}, u_c, ∇x, s(1−o)).</w:t>
            </w:r>
          </w:p>
        </w:tc>
        <w:tc>
          <w:tcPr>
            <w:tcW w:type="dxa" w:w="5155"/>
            <w:vAlign w:val="center"/>
            <w:tcMar>
              <w:top w:w="0" w:type="dxa"/>
              <w:start w:w="0" w:type="dxa"/>
              <w:bottom w:w="0" w:type="dxa"/>
              <w:end w:w="0" w:type="dxa"/>
            </w:tcMar>
          </w:tcPr>
          <w:p>
            <w:pPr>
              <w:jc w:val="right"/>
            </w:pPr>
            <w:r>
              <w:rPr>
                <w:rFonts w:ascii="Times New Roman" w:hAnsi="Times New Roman" w:eastAsia="Times New Roman"/>
                <w:b w:val="0"/>
                <w:i w:val="0"/>
                <w:sz w:val="18"/>
              </w:rPr>
              <w:t>(3)</w:t>
            </w:r>
          </w:p>
        </w:tc>
      </w:tr>
    </w:tbl>
    <w:p>
      <w:pPr>
        <w:pStyle w:val="BodyText"/>
        <w:keepLines w:val="0"/>
        <w:spacing w:after="0" w:before="0" w:line="240" w:lineRule="auto"/>
        <w:ind w:firstLine="230"/>
        <w:jc w:val="both"/>
      </w:pPr>
      <w:r>
        <w:rPr>
          <w:rFonts w:ascii="Times New Roman" w:hAnsi="Times New Roman" w:eastAsia="Times New Roman"/>
          <w:b w:val="0"/>
          <w:i w:val="0"/>
          <w:sz w:val="18"/>
        </w:rPr>
        <w:t>For RAM-W600, context from other member probabilities allows the refiner to recover locally missing membership where another bone is already predicted in the same projection. For TSRS, the output branch remains conservative because its overlap membership is unobserved. The final submission will report both seam-only and dual-prior variants to quantify whether transferred overlap context helps or interferes with the TSRS objective.</w:t>
      </w:r>
    </w:p>
    <w:p>
      <w:pPr>
        <w:sectPr>
          <w:type w:val="continuous"/>
          <w:pgSz w:w="12240" w:h="15840"/>
          <w:pgMar w:top="922" w:right="965" w:bottom="893" w:left="965" w:header="360" w:footer="360" w:gutter="0"/>
          <w:cols w:space="280" w:num="2"/>
          <w:docGrid w:linePitch="360"/>
        </w:sectPr>
      </w:pPr>
    </w:p>
    <w:tbl>
      <w:tblPr>
        <w:tblW w:type="auto" w:w="0"/>
        <w:jc w:val="center"/>
        <w:tblLayout w:type="fixed"/>
        <w:tblLook w:firstColumn="1" w:firstRow="1" w:lastColumn="0" w:lastRow="0" w:noHBand="0" w:noVBand="1" w:val="04A0"/>
      </w:tblPr>
      <w:tblGrid>
        <w:gridCol w:w="10310"/>
      </w:tblGrid>
      <w:tr>
        <w:trPr>
          <w:trHeight w:val="4176" w:hRule="atLeast"/>
        </w:trPr>
        <w:tc>
          <w:tcPr>
            <w:tcW w:type="dxa" w:w="10080"/>
            <w:vAlign w:val="center"/>
            <w:shd w:fill="F3F3F3"/>
            <w:tcMar>
              <w:top w:w="100" w:type="dxa"/>
              <w:start w:w="100" w:type="dxa"/>
              <w:bottom w:w="100" w:type="dxa"/>
              <w:end w:w="100" w:type="dxa"/>
            </w:tcMar>
          </w:tcPr>
          <w:p>
            <w:pPr>
              <w:jc w:val="center"/>
            </w:pPr>
            <w:r>
              <w:rPr>
                <w:rFonts w:ascii="Times New Roman" w:hAnsi="Times New Roman" w:eastAsia="Times New Roman"/>
                <w:b/>
                <w:i w:val="0"/>
                <w:color w:val="787878"/>
                <w:sz w:val="20"/>
              </w:rPr>
              <w:t>[TBD FIGURE 2: FINAL METHOD DIAGRAM]</w:t>
              <w:br/>
              <w:t>Image + seam prior → bounded input adapter → generic backbone → logits → overlap-aware completion refiner</w:t>
              <w:br/>
              <w:t>RAM: observed multi-label overlap supervision | TSRS: overlap membership unknown</w:t>
            </w:r>
          </w:p>
        </w:tc>
      </w:tr>
    </w:tbl>
    <w:p>
      <w:pPr>
        <w:spacing w:before="40" w:after="60"/>
        <w:jc w:val="both"/>
      </w:pPr>
      <w:r>
        <w:rPr>
          <w:rFonts w:ascii="Times New Roman" w:hAnsi="Times New Roman" w:eastAsia="Times New Roman"/>
          <w:b w:val="0"/>
          <w:i w:val="0"/>
          <w:sz w:val="17"/>
        </w:rPr>
        <w:t>Figure 2: DualPriorSeg overview. A frozen or jointly fine-tuned generic backbone is wrapped by an input seam adapter and an output completion refiner. The image-conditioned overlap prior is learned from observable RAM multi-label overlap. TSRS does not fabricate overlap labels; supervision availability gates the overlap loss. Only standard image/logit interfaces are required, enabling the same prior modules to wrap different backbones.</w:t>
      </w:r>
    </w:p>
    <w:p>
      <w:pPr>
        <w:sectPr>
          <w:type w:val="continuous"/>
          <w:pgSz w:w="12240" w:h="15840"/>
          <w:pgMar w:top="922" w:right="965" w:bottom="893" w:left="965" w:header="360" w:footer="360" w:gutter="0"/>
          <w:cols w:space="280" w:num="1"/>
          <w:docGrid w:linePitch="360"/>
        </w:sectPr>
      </w:pPr>
    </w:p>
    <w:p>
      <w:pPr>
        <w:keepNext/>
        <w:spacing w:before="60" w:after="30"/>
        <w:jc w:val="left"/>
      </w:pPr>
      <w:r>
        <w:rPr>
          <w:rFonts w:ascii="Times New Roman" w:hAnsi="Times New Roman" w:eastAsia="Times New Roman"/>
          <w:b/>
          <w:i w:val="0"/>
          <w:sz w:val="19"/>
        </w:rPr>
        <w:t xml:space="preserve">Observable Unified Objective. </w:t>
      </w:r>
    </w:p>
    <w:p>
      <w:pPr>
        <w:pStyle w:val="BodyText"/>
        <w:keepLines w:val="0"/>
        <w:spacing w:after="0" w:before="0" w:line="240" w:lineRule="auto"/>
        <w:ind w:firstLine="230"/>
        <w:jc w:val="both"/>
      </w:pPr>
      <w:r>
        <w:rPr>
          <w:rFonts w:ascii="Times New Roman" w:hAnsi="Times New Roman" w:eastAsia="Times New Roman"/>
          <w:b w:val="0"/>
          <w:i w:val="0"/>
          <w:sz w:val="18"/>
        </w:rPr>
        <w:t>Training combines the original segmentation objective with structural terms whose validity depends on the available annotation. Let v be a valid-pixel mask, y the target, p = σ(ẑ), and p_b a frozen backbone probability used for preservation. The base term combines binary cross-entropy, soft Dice, and a small foreground-recall penalty. The separation region is the seam corridor restricted to observed background, while the overlap completion region is active only when multi-membership is observed.</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Cambria Math" w:hAnsi="Cambria Math" w:eastAsia="Cambria Math"/>
                <w:b w:val="0"/>
                <w:i w:val="0"/>
                <w:sz w:val="19"/>
              </w:rPr>
              <w:t>L = L_base + λ_s L_sep + q_o λ_o L_ov + λ_p L_pres,</w:t>
            </w:r>
          </w:p>
        </w:tc>
        <w:tc>
          <w:tcPr>
            <w:tcW w:type="dxa" w:w="5155"/>
            <w:vAlign w:val="center"/>
            <w:tcMar>
              <w:top w:w="0" w:type="dxa"/>
              <w:start w:w="0" w:type="dxa"/>
              <w:bottom w:w="0" w:type="dxa"/>
              <w:end w:w="0" w:type="dxa"/>
            </w:tcMar>
          </w:tcPr>
          <w:p>
            <w:pPr>
              <w:jc w:val="right"/>
            </w:pPr>
            <w:r>
              <w:rPr>
                <w:rFonts w:ascii="Times New Roman" w:hAnsi="Times New Roman" w:eastAsia="Times New Roman"/>
                <w:b w:val="0"/>
                <w:i w:val="0"/>
                <w:sz w:val="18"/>
              </w:rPr>
              <w:t>(4)</w:t>
            </w:r>
          </w:p>
        </w:tc>
      </w:tr>
    </w:tbl>
    <w:p>
      <w:pPr>
        <w:pStyle w:val="BodyText"/>
        <w:keepLines w:val="0"/>
        <w:spacing w:after="0" w:before="0" w:line="240" w:lineRule="auto"/>
        <w:ind w:firstLine="230"/>
        <w:jc w:val="both"/>
      </w:pPr>
      <w:r>
        <w:rPr>
          <w:rFonts w:ascii="Times New Roman" w:hAnsi="Times New Roman" w:eastAsia="Times New Roman"/>
          <w:b w:val="0"/>
          <w:i w:val="0"/>
          <w:sz w:val="18"/>
        </w:rPr>
        <w:t>where q_o = 1 for RAM-W600 and q_o = 0 for TSRS overlap membership. L_sep penalizes predicted foreground in seam-supported background. L_ov encourages positive member logits in true multi-membership pixels. L_pres penalizes deviations from the baseline probability outside structural target regions, reducing broad changes that could improve a local prior objective while degrading ordinary segmentation. In the current pilot implementation, λ_s and λ_o are ramped from 0 to 0.035 and λ_p to 0.10; final values will be selected using the predefined validation protocol and then frozen before test evaluation.</w:t>
      </w:r>
    </w:p>
    <w:p>
      <w:pPr>
        <w:keepNext/>
        <w:spacing w:before="60" w:after="30"/>
        <w:jc w:val="left"/>
      </w:pPr>
      <w:r>
        <w:rPr>
          <w:rFonts w:ascii="Times New Roman" w:hAnsi="Times New Roman" w:eastAsia="Times New Roman"/>
          <w:b/>
          <w:i w:val="0"/>
          <w:sz w:val="19"/>
        </w:rPr>
        <w:t xml:space="preserve">Primary-Gradient-Anchored Routing. </w:t>
      </w:r>
    </w:p>
    <w:p>
      <w:pPr>
        <w:pStyle w:val="BodyText"/>
        <w:keepLines w:val="0"/>
        <w:spacing w:after="0" w:before="0" w:line="240" w:lineRule="auto"/>
        <w:ind w:firstLine="230"/>
        <w:jc w:val="both"/>
      </w:pPr>
      <w:r>
        <w:rPr>
          <w:rFonts w:ascii="Times New Roman" w:hAnsi="Times New Roman" w:eastAsia="Times New Roman"/>
          <w:b w:val="0"/>
          <w:i w:val="0"/>
          <w:sz w:val="18"/>
        </w:rPr>
        <w:t>To reduce destructive interference, we compute gradients in parameter space. Let g_b be the gradient of L_base and g_a the gradient of one auxiliary term. If the auxiliary gradient conflicts with the base gradient, we remove its component opposing g_b:</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032"/>
        <w:gridCol w:w="504"/>
      </w:tblGrid>
      <w:tr>
        <w:tc>
          <w:tcPr>
            <w:tcW w:type="dxa" w:w="5155"/>
            <w:vAlign w:val="center"/>
            <w:tcMar>
              <w:top w:w="0" w:type="dxa"/>
              <w:start w:w="0" w:type="dxa"/>
              <w:bottom w:w="0" w:type="dxa"/>
              <w:end w:w="0" w:type="dxa"/>
            </w:tcMar>
          </w:tcPr>
          <w:p>
            <w:pPr>
              <w:jc w:val="center"/>
            </w:pPr>
            <w:r>
              <w:rPr>
                <w:rFonts w:ascii="Cambria Math" w:hAnsi="Cambria Math" w:eastAsia="Cambria Math"/>
                <w:b w:val="0"/>
                <w:i w:val="0"/>
                <w:sz w:val="19"/>
              </w:rPr>
              <w:t>g′_a = g_a − (g_aᵀ g_b / ||g_b||²) g_b,    if g_aᵀ g_b &lt; 0.</w:t>
            </w:r>
          </w:p>
        </w:tc>
        <w:tc>
          <w:tcPr>
            <w:tcW w:type="dxa" w:w="5155"/>
            <w:vAlign w:val="center"/>
            <w:tcMar>
              <w:top w:w="0" w:type="dxa"/>
              <w:start w:w="0" w:type="dxa"/>
              <w:bottom w:w="0" w:type="dxa"/>
              <w:end w:w="0" w:type="dxa"/>
            </w:tcMar>
          </w:tcPr>
          <w:p>
            <w:pPr>
              <w:jc w:val="right"/>
            </w:pPr>
            <w:r>
              <w:rPr>
                <w:rFonts w:ascii="Times New Roman" w:hAnsi="Times New Roman" w:eastAsia="Times New Roman"/>
                <w:b w:val="0"/>
                <w:i w:val="0"/>
                <w:sz w:val="18"/>
              </w:rPr>
              <w:t>(5)</w:t>
            </w:r>
          </w:p>
        </w:tc>
      </w:tr>
    </w:tbl>
    <w:p>
      <w:pPr>
        <w:pStyle w:val="BodyText"/>
        <w:keepLines w:val="0"/>
        <w:spacing w:after="0" w:before="0" w:line="240" w:lineRule="auto"/>
        <w:ind w:firstLine="230"/>
        <w:jc w:val="both"/>
      </w:pPr>
      <w:r>
        <w:rPr>
          <w:rFonts w:ascii="Times New Roman" w:hAnsi="Times New Roman" w:eastAsia="Times New Roman"/>
          <w:b w:val="0"/>
          <w:i w:val="0"/>
          <w:sz w:val="18"/>
        </w:rPr>
        <w:t>Otherwise g′_a = g_a. Each routed auxiliary gradient is then scaled by its requested weight and capped so its norm is at most a fixed fraction of ||g_b|| (0.15 in current experiments). The base gradient itself is never projected to satisfy an auxiliary objective. This mechanism reduces local optimization conflict, whereas actual non-degradation is assessed separately on held-out data.</w:t>
      </w:r>
    </w:p>
    <w:p>
      <w:pPr>
        <w:keepNext/>
        <w:spacing w:before="60" w:after="30"/>
        <w:jc w:val="left"/>
      </w:pPr>
      <w:r>
        <w:rPr>
          <w:rFonts w:ascii="Times New Roman" w:hAnsi="Times New Roman" w:eastAsia="Times New Roman"/>
          <w:b/>
          <w:i w:val="0"/>
          <w:sz w:val="19"/>
        </w:rPr>
        <w:t xml:space="preserve">Backbone Contract.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The structural modules consume only image-space priors and output logits. A backbone adapter therefore needs to implement only the native image-input contract and conversion of native outputs to foreground/member logits. No encoder stage, decoder stage, or feature-channel name is referenced by the prior modules. We evaluate this interface with nnU-Net as the development backbone and with TransUNet and Swin-UMamba as architecturally distinct portability tests. </w:t>
      </w:r>
      <w:r>
        <w:rPr>
          <w:rFonts w:ascii="Times New Roman" w:hAnsi="Times New Roman" w:eastAsia="Times New Roman"/>
          <w:b/>
          <w:i w:val="0"/>
          <w:color w:val="C00000"/>
          <w:sz w:val="18"/>
        </w:rPr>
        <w:t>[TBD: insert final portability implementation details after experiments are completed.]</w:t>
      </w:r>
    </w:p>
    <w:p>
      <w:pPr>
        <w:keepNext/>
        <w:spacing w:before="100" w:after="30"/>
        <w:jc w:val="center"/>
      </w:pPr>
      <w:r>
        <w:rPr>
          <w:rFonts w:ascii="Times New Roman" w:hAnsi="Times New Roman" w:eastAsia="Times New Roman"/>
          <w:b/>
          <w:i w:val="0"/>
          <w:sz w:val="22"/>
        </w:rPr>
        <w:t>Experiments</w:t>
      </w:r>
    </w:p>
    <w:p>
      <w:pPr>
        <w:keepNext/>
        <w:spacing w:before="60" w:after="30"/>
        <w:jc w:val="left"/>
      </w:pPr>
      <w:r>
        <w:rPr>
          <w:rFonts w:ascii="Times New Roman" w:hAnsi="Times New Roman" w:eastAsia="Times New Roman"/>
          <w:b/>
          <w:i w:val="0"/>
          <w:sz w:val="19"/>
        </w:rPr>
        <w:t xml:space="preserve">Setup. </w:t>
      </w:r>
    </w:p>
    <w:p>
      <w:pPr>
        <w:keepNext/>
        <w:spacing w:before="60" w:after="30"/>
        <w:jc w:val="left"/>
      </w:pPr>
      <w:r>
        <w:rPr>
          <w:rFonts w:ascii="Times New Roman" w:hAnsi="Times New Roman" w:eastAsia="Times New Roman"/>
          <w:b/>
          <w:i w:val="0"/>
          <w:sz w:val="19"/>
        </w:rPr>
        <w:t xml:space="preserve">Datasets.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TSRS. We use a pediatric hand-radiograph dataset with per-image bone/ossification-region annotations and a foreground-union segmentation target. The final manuscript will report the frozen train/validation/test split and the formal dataset citation after the ongoing data-integrity audit: </w:t>
      </w:r>
      <w:r>
        <w:rPr>
          <w:rFonts w:ascii="Times New Roman" w:hAnsi="Times New Roman" w:eastAsia="Times New Roman"/>
          <w:b/>
          <w:i w:val="0"/>
          <w:color w:val="C00000"/>
          <w:sz w:val="18"/>
        </w:rPr>
        <w:t>[TBD: TSRS citation, total images, final train/val/test counts]</w:t>
      </w:r>
      <w:r>
        <w:rPr>
          <w:rFonts w:ascii="Times New Roman" w:hAnsi="Times New Roman" w:eastAsia="Times New Roman"/>
          <w:b w:val="0"/>
          <w:i w:val="0"/>
          <w:sz w:val="18"/>
        </w:rPr>
        <w:t>. Labels are treated as per-image anonymous instances for prior construction rather than fixed cross-image anatomical classes. The primary segmentation task remains binary foreground segmentation.</w:t>
      </w:r>
    </w:p>
    <w:p>
      <w:pPr>
        <w:pStyle w:val="BodyText"/>
        <w:keepLines w:val="0"/>
        <w:spacing w:after="0" w:before="0" w:line="240" w:lineRule="auto"/>
        <w:ind w:firstLine="230"/>
        <w:jc w:val="both"/>
      </w:pPr>
      <w:r>
        <w:rPr>
          <w:rFonts w:ascii="Times New Roman" w:hAnsi="Times New Roman" w:eastAsia="Times New Roman"/>
          <w:b w:val="0"/>
          <w:i w:val="0"/>
          <w:sz w:val="18"/>
        </w:rPr>
        <w:t xml:space="preserve">RAM-W600. RAM-W600 is a multi-task wrist-radiograph benchmark for rheumatoid arthritis containing 1,048 images from 388 patients, with pixel-level instance segmentation annotations for 618 radiographs (Yang et al. 2026). We follow the official segmentation setup and 14-member output representation. Model selection uses only the training and validation portions; the test split is not used for threshold or hyperparameter selection. </w:t>
      </w:r>
      <w:r>
        <w:rPr>
          <w:rFonts w:ascii="Times New Roman" w:hAnsi="Times New Roman" w:eastAsia="Times New Roman"/>
          <w:b/>
          <w:i w:val="0"/>
          <w:color w:val="C00000"/>
          <w:sz w:val="18"/>
        </w:rPr>
        <w:t>[TBD: insert final split counts used by our released experiment manifest.]</w:t>
      </w:r>
    </w:p>
    <w:p>
      <w:pPr>
        <w:keepNext/>
        <w:spacing w:before="60" w:after="30"/>
        <w:jc w:val="left"/>
      </w:pPr>
      <w:r>
        <w:rPr>
          <w:rFonts w:ascii="Times New Roman" w:hAnsi="Times New Roman" w:eastAsia="Times New Roman"/>
          <w:b/>
          <w:i w:val="0"/>
          <w:sz w:val="19"/>
        </w:rPr>
        <w:t xml:space="preserve">Evaluation Protocol and Metrics. </w:t>
      </w:r>
    </w:p>
    <w:p>
      <w:pPr>
        <w:pStyle w:val="BodyText"/>
        <w:keepLines w:val="0"/>
        <w:spacing w:after="0" w:before="0" w:line="240" w:lineRule="auto"/>
        <w:ind w:firstLine="230"/>
        <w:jc w:val="both"/>
      </w:pPr>
      <w:r>
        <w:rPr>
          <w:rFonts w:ascii="Times New Roman" w:hAnsi="Times New Roman" w:eastAsia="Times New Roman"/>
          <w:b w:val="0"/>
          <w:i w:val="0"/>
          <w:sz w:val="18"/>
        </w:rPr>
        <w:t>We intentionally use established segmentation metrics rather than introducing a new paper-facing score. TSRS is evaluated with Dice, IoU, precision, recall, Boundary IoU, Boundary F1, surface Dice at 2 and 5 pixels, HD95, and ASSD. RAM-W600 follows its benchmark metrics: DSC, normalized surface Dice (NSD), volume overlap error (VOE), mean surface distance (MSD), and relative absolute volume difference (RAVD). Complementary internal diagnostics for seam and overlap regions are retained for mechanism analysis but are not required for the primary performance claim. This multi-metric design follows the recommendation to combine overlap and boundary/surface measures when segmentation quality cannot be represented by a single family of metrics (Maier-Hein et al. 2024).</w:t>
      </w:r>
    </w:p>
    <w:p>
      <w:pPr>
        <w:keepNext/>
        <w:spacing w:before="60" w:after="30"/>
        <w:jc w:val="left"/>
      </w:pPr>
      <w:r>
        <w:rPr>
          <w:rFonts w:ascii="Times New Roman" w:hAnsi="Times New Roman" w:eastAsia="Times New Roman"/>
          <w:b/>
          <w:i w:val="0"/>
          <w:sz w:val="19"/>
        </w:rPr>
        <w:t xml:space="preserve">Matched Controls. </w:t>
      </w:r>
    </w:p>
    <w:p>
      <w:pPr>
        <w:pStyle w:val="BodyText"/>
        <w:keepLines w:val="0"/>
        <w:spacing w:after="0" w:before="0" w:line="240" w:lineRule="auto"/>
        <w:ind w:firstLine="230"/>
        <w:jc w:val="both"/>
      </w:pPr>
      <w:r>
        <w:rPr>
          <w:rFonts w:ascii="Times New Roman" w:hAnsi="Times New Roman" w:eastAsia="Times New Roman"/>
          <w:b w:val="0"/>
          <w:i w:val="0"/>
          <w:sz w:val="18"/>
        </w:rPr>
        <w:t>Final ablations start from the same native backbone checkpoint and use matched additional training. For nnU-Net we compare Native-Continue, Seam-Only, Overlap-Only, and Dual-Prior variants under the same split, optimizer, schedule, augmentation, seed, checkpoint-selection rule, and evaluator. This control is necessary because historical development runs initialized TSRS from an R350 mature checkpoint and RAM from an R332 mature checkpoint; those runs are retained as development evidence but are not used as the final causal ablation.</w:t>
      </w:r>
    </w:p>
    <w:p>
      <w:pPr>
        <w:keepNext/>
        <w:spacing w:before="60" w:after="30"/>
        <w:jc w:val="left"/>
      </w:pPr>
      <w:r>
        <w:rPr>
          <w:rFonts w:ascii="Times New Roman" w:hAnsi="Times New Roman" w:eastAsia="Times New Roman"/>
          <w:b/>
          <w:i w:val="0"/>
          <w:sz w:val="19"/>
        </w:rPr>
        <w:t xml:space="preserve">Baselines and Backbone Portability. </w:t>
      </w:r>
    </w:p>
    <w:p>
      <w:pPr>
        <w:pStyle w:val="BodyText"/>
        <w:keepLines w:val="0"/>
        <w:spacing w:after="0" w:before="0" w:line="240" w:lineRule="auto"/>
        <w:ind w:firstLine="230"/>
        <w:jc w:val="both"/>
      </w:pPr>
      <w:r>
        <w:rPr>
          <w:rFonts w:ascii="Times New Roman" w:hAnsi="Times New Roman" w:eastAsia="Times New Roman"/>
          <w:b w:val="0"/>
          <w:i w:val="0"/>
          <w:sz w:val="18"/>
        </w:rPr>
        <w:t>We use nnU-Net as the principal medical segmentation baseline (Isensee et al. 2021). To test portability, we additionally wrap TransUNet (Chen et al. 2021) and Swin-UMamba (Liu et al. 2024) with the same prior modules. For the portability table, each architecture is compared only against its matched +DualPriorSeg version; the full Seam/Overlap/Dual ablation is performed on nnU-Net. RAM-W600 comparisons additionally include the published benchmark systems reported by Yang et al. (2026), subject to matching the official test protocol.</w:t>
      </w:r>
    </w:p>
    <w:p>
      <w:pPr>
        <w:keepNext/>
        <w:spacing w:before="60" w:after="30"/>
        <w:jc w:val="left"/>
      </w:pPr>
      <w:r>
        <w:rPr>
          <w:rFonts w:ascii="Times New Roman" w:hAnsi="Times New Roman" w:eastAsia="Times New Roman"/>
          <w:b/>
          <w:i w:val="0"/>
          <w:sz w:val="19"/>
        </w:rPr>
        <w:t xml:space="preserve">Implementation Details.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The current nnU-Net pilot uses a seam-input residual bound α=0.10, a one-step output refinement, AdamW optimization, and a low learning rate of 2×10^−5 for adapter parameters. Auxiliary loss weights are ramped during early training, and each routed auxiliary gradient is capped at 15% of the base-gradient norm. Identity initialization is verified on real batches before training. The final experiments will use either adapter-only or joint-finetuning mode with matched controls; exact batch size, backbone learning-rate ratio, epoch budget, augmentation, GPU hardware, and random seeds will be inserted after the final run manifest is frozen: </w:t>
      </w:r>
      <w:r>
        <w:rPr>
          <w:rFonts w:ascii="Times New Roman" w:hAnsi="Times New Roman" w:eastAsia="Times New Roman"/>
          <w:b/>
          <w:i w:val="0"/>
          <w:color w:val="C00000"/>
          <w:sz w:val="18"/>
        </w:rPr>
        <w:t>[TBD: final implementation block]</w:t>
      </w:r>
      <w:r>
        <w:rPr>
          <w:rFonts w:ascii="Times New Roman" w:hAnsi="Times New Roman" w:eastAsia="Times New Roman"/>
          <w:b w:val="0"/>
          <w:i w:val="0"/>
          <w:sz w:val="18"/>
        </w:rPr>
        <w:t>.</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Times New Roman"/>
          <w:b w:val="0"/>
          <w:i w:val="0"/>
          <w:sz w:val="17"/>
        </w:rPr>
        <w:t>Table 1: Main segmentation results on TSRS and RAM-W600. All values are final test results unless marked otherwise. Arrows indicate the preferred direction.</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1440"/>
            <w:shd w:fill="EAEAEA"/>
            <w:tcMar>
              <w:top w:w="45" w:type="dxa"/>
              <w:start w:w="35" w:type="dxa"/>
              <w:bottom w:w="45" w:type="dxa"/>
              <w:end w:w="35" w:type="dxa"/>
            </w:tcMar>
          </w:tcPr>
          <w:p>
            <w:pPr>
              <w:jc w:val="center"/>
            </w:pPr>
            <w:r>
              <w:rPr>
                <w:rFonts w:ascii="Times New Roman" w:hAnsi="Times New Roman" w:eastAsia="Times New Roman"/>
                <w:b/>
                <w:i w:val="0"/>
                <w:sz w:val="15"/>
              </w:rPr>
              <w:t>Dataset</w:t>
            </w:r>
          </w:p>
        </w:tc>
        <w:tc>
          <w:tcPr>
            <w:tcW w:type="dxa" w:w="2880"/>
            <w:shd w:fill="EAEAEA"/>
            <w:tcMar>
              <w:top w:w="45" w:type="dxa"/>
              <w:start w:w="35" w:type="dxa"/>
              <w:bottom w:w="45" w:type="dxa"/>
              <w:end w:w="35" w:type="dxa"/>
            </w:tcMar>
          </w:tcPr>
          <w:p>
            <w:pPr>
              <w:jc w:val="center"/>
            </w:pPr>
            <w:r>
              <w:rPr>
                <w:rFonts w:ascii="Times New Roman" w:hAnsi="Times New Roman" w:eastAsia="Times New Roman"/>
                <w:b/>
                <w:i w:val="0"/>
                <w:sz w:val="15"/>
              </w:rPr>
              <w:t>Method</w:t>
            </w:r>
          </w:p>
        </w:tc>
        <w:tc>
          <w:tcPr>
            <w:tcW w:type="dxa" w:w="1152"/>
            <w:shd w:fill="EAEAEA"/>
            <w:tcMar>
              <w:top w:w="45" w:type="dxa"/>
              <w:start w:w="35" w:type="dxa"/>
              <w:bottom w:w="45" w:type="dxa"/>
              <w:end w:w="35" w:type="dxa"/>
            </w:tcMar>
          </w:tcPr>
          <w:p>
            <w:pPr>
              <w:jc w:val="center"/>
            </w:pPr>
            <w:r>
              <w:rPr>
                <w:rFonts w:ascii="Times New Roman" w:hAnsi="Times New Roman" w:eastAsia="Times New Roman"/>
                <w:b/>
                <w:i w:val="0"/>
                <w:sz w:val="15"/>
              </w:rPr>
              <w:t>Dice/DSC ↑</w:t>
            </w:r>
          </w:p>
        </w:tc>
        <w:tc>
          <w:tcPr>
            <w:tcW w:type="dxa" w:w="1152"/>
            <w:shd w:fill="EAEAEA"/>
            <w:tcMar>
              <w:top w:w="45" w:type="dxa"/>
              <w:start w:w="35" w:type="dxa"/>
              <w:bottom w:w="45" w:type="dxa"/>
              <w:end w:w="35" w:type="dxa"/>
            </w:tcMar>
          </w:tcPr>
          <w:p>
            <w:pPr>
              <w:jc w:val="center"/>
            </w:pPr>
            <w:r>
              <w:rPr>
                <w:rFonts w:ascii="Times New Roman" w:hAnsi="Times New Roman" w:eastAsia="Times New Roman"/>
                <w:b/>
                <w:i w:val="0"/>
                <w:sz w:val="15"/>
              </w:rPr>
              <w:t>IoU/VOE</w:t>
            </w:r>
          </w:p>
        </w:tc>
        <w:tc>
          <w:tcPr>
            <w:tcW w:type="dxa" w:w="1440"/>
            <w:shd w:fill="EAEAEA"/>
            <w:tcMar>
              <w:top w:w="45" w:type="dxa"/>
              <w:start w:w="35" w:type="dxa"/>
              <w:bottom w:w="45" w:type="dxa"/>
              <w:end w:w="35" w:type="dxa"/>
            </w:tcMar>
          </w:tcPr>
          <w:p>
            <w:pPr>
              <w:jc w:val="center"/>
            </w:pPr>
            <w:r>
              <w:rPr>
                <w:rFonts w:ascii="Times New Roman" w:hAnsi="Times New Roman" w:eastAsia="Times New Roman"/>
                <w:b/>
                <w:i w:val="0"/>
                <w:sz w:val="15"/>
              </w:rPr>
              <w:t>Boundary/NSD ↑</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HD95/MSD ↓</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ASSD/RAVD ↓</w:t>
            </w:r>
          </w:p>
        </w:tc>
      </w:tr>
      <w:tr>
        <w:tc>
          <w:tcPr>
            <w:tcW w:type="dxa" w:w="1440"/>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2880"/>
            <w:tcMar>
              <w:top w:w="35" w:type="dxa"/>
              <w:start w:w="32" w:type="dxa"/>
              <w:bottom w:w="35" w:type="dxa"/>
              <w:end w:w="32" w:type="dxa"/>
            </w:tcMar>
          </w:tcPr>
          <w:p>
            <w:pPr>
              <w:jc w:val="center"/>
            </w:pPr>
            <w:r>
              <w:rPr>
                <w:rFonts w:ascii="Times New Roman" w:hAnsi="Times New Roman" w:eastAsia="Times New Roman"/>
                <w:b w:val="0"/>
                <w:i w:val="0"/>
                <w:sz w:val="15"/>
              </w:rPr>
              <w:t>nnU-Net (matched)</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440"/>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2880"/>
            <w:tcMar>
              <w:top w:w="35" w:type="dxa"/>
              <w:start w:w="32" w:type="dxa"/>
              <w:bottom w:w="35" w:type="dxa"/>
              <w:end w:w="32" w:type="dxa"/>
            </w:tcMar>
          </w:tcPr>
          <w:p>
            <w:pPr>
              <w:jc w:val="center"/>
            </w:pPr>
            <w:r>
              <w:rPr>
                <w:rFonts w:ascii="Times New Roman" w:hAnsi="Times New Roman" w:eastAsia="Times New Roman"/>
                <w:b w:val="0"/>
                <w:i w:val="0"/>
                <w:sz w:val="15"/>
              </w:rPr>
              <w:t>DualPriorSeg + nnU-Net</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440"/>
            <w:tcMar>
              <w:top w:w="35" w:type="dxa"/>
              <w:start w:w="32" w:type="dxa"/>
              <w:bottom w:w="35" w:type="dxa"/>
              <w:end w:w="32" w:type="dxa"/>
            </w:tcMar>
          </w:tcPr>
          <w:p>
            <w:pPr>
              <w:jc w:val="left"/>
            </w:pPr>
            <w:r>
              <w:rPr>
                <w:rFonts w:ascii="Times New Roman" w:hAnsi="Times New Roman" w:eastAsia="Times New Roman"/>
                <w:b w:val="0"/>
                <w:i w:val="0"/>
                <w:sz w:val="15"/>
              </w:rPr>
              <w:t>RAM-W600</w:t>
            </w:r>
          </w:p>
        </w:tc>
        <w:tc>
          <w:tcPr>
            <w:tcW w:type="dxa" w:w="2880"/>
            <w:tcMar>
              <w:top w:w="35" w:type="dxa"/>
              <w:start w:w="32" w:type="dxa"/>
              <w:bottom w:w="35" w:type="dxa"/>
              <w:end w:w="32" w:type="dxa"/>
            </w:tcMar>
          </w:tcPr>
          <w:p>
            <w:pPr>
              <w:jc w:val="center"/>
            </w:pPr>
            <w:r>
              <w:rPr>
                <w:rFonts w:ascii="Times New Roman" w:hAnsi="Times New Roman" w:eastAsia="Times New Roman"/>
                <w:b w:val="0"/>
                <w:i w:val="0"/>
                <w:sz w:val="15"/>
              </w:rPr>
              <w:t>nnU-Net (matched)</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440"/>
            <w:tcMar>
              <w:top w:w="35" w:type="dxa"/>
              <w:start w:w="32" w:type="dxa"/>
              <w:bottom w:w="35" w:type="dxa"/>
              <w:end w:w="32" w:type="dxa"/>
            </w:tcMar>
          </w:tcPr>
          <w:p>
            <w:pPr>
              <w:jc w:val="left"/>
            </w:pPr>
            <w:r>
              <w:rPr>
                <w:rFonts w:ascii="Times New Roman" w:hAnsi="Times New Roman" w:eastAsia="Times New Roman"/>
                <w:b w:val="0"/>
                <w:i w:val="0"/>
                <w:sz w:val="15"/>
              </w:rPr>
              <w:t>RAM-W600</w:t>
            </w:r>
          </w:p>
        </w:tc>
        <w:tc>
          <w:tcPr>
            <w:tcW w:type="dxa" w:w="2880"/>
            <w:tcMar>
              <w:top w:w="35" w:type="dxa"/>
              <w:start w:w="32" w:type="dxa"/>
              <w:bottom w:w="35" w:type="dxa"/>
              <w:end w:w="32" w:type="dxa"/>
            </w:tcMar>
          </w:tcPr>
          <w:p>
            <w:pPr>
              <w:jc w:val="center"/>
            </w:pPr>
            <w:r>
              <w:rPr>
                <w:rFonts w:ascii="Times New Roman" w:hAnsi="Times New Roman" w:eastAsia="Times New Roman"/>
                <w:b w:val="0"/>
                <w:i w:val="0"/>
                <w:sz w:val="15"/>
              </w:rPr>
              <w:t>DualPriorSeg + nnU-Net</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152"/>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bl>
    <w:p>
      <w:pPr>
        <w:spacing w:before="20" w:after="60"/>
        <w:jc w:val="both"/>
      </w:pPr>
      <w:r>
        <w:rPr>
          <w:rFonts w:ascii="Times New Roman" w:hAnsi="Times New Roman" w:eastAsia="Times New Roman"/>
          <w:b w:val="0"/>
          <w:i w:val="0"/>
          <w:sz w:val="15"/>
        </w:rPr>
        <w:t>For TSRS, the detailed final table should additionally report Precision, Recall, Boundary IoU/F1, Surface Dice 2/5 px, HD95, and ASSD. For RAM-W600, report the official DSC/NSD/VOE/MSD/RAVD definitions exactly as in the benchmark.</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Main Results</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Table 1 summarizes the primary two-dataset comparison. On TSRS, DualPriorSeg changes global overlap from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to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while improving the boundary/surface measures by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The expected pattern is that seam-sensitive contour metrics show a larger gain than global Dice because the prior acts on a small fraction of image pixels. On RAM-W600, the method achieves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DSC and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NSD, with MSD reduced from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to </w:t>
      </w:r>
      <w:r>
        <w:rPr>
          <w:rFonts w:ascii="Times New Roman" w:hAnsi="Times New Roman" w:eastAsia="Times New Roman"/>
          <w:b/>
          <w:i w:val="0"/>
          <w:color w:val="C00000"/>
          <w:sz w:val="18"/>
        </w:rPr>
        <w:t>[TBD]</w:t>
      </w:r>
      <w:r>
        <w:rPr>
          <w:rFonts w:ascii="Times New Roman" w:hAnsi="Times New Roman" w:eastAsia="Times New Roman"/>
          <w:b w:val="0"/>
          <w:i w:val="0"/>
          <w:sz w:val="18"/>
        </w:rPr>
        <w:t>. Final claims will be phrased according to the completed official test results rather than the preliminary validation pilots.</w:t>
      </w:r>
    </w:p>
    <w:p>
      <w:pPr>
        <w:pStyle w:val="BodyText"/>
        <w:keepLines w:val="0"/>
        <w:spacing w:after="0" w:before="0" w:line="240" w:lineRule="auto"/>
        <w:ind w:firstLine="230"/>
        <w:jc w:val="both"/>
      </w:pPr>
      <w:r>
        <w:rPr>
          <w:rFonts w:ascii="Times New Roman" w:hAnsi="Times New Roman" w:eastAsia="Times New Roman"/>
          <w:b w:val="0"/>
          <w:i w:val="0"/>
          <w:sz w:val="18"/>
        </w:rPr>
        <w:t>The central question is not whether every metric increases by a large margin, but whether the structural modules provide reproducible gains while preserving the strong base segmentation. We therefore report all standard metrics, not only the most favorable subset, and bind each result row to a single checkpoint epoch and SHA-256 hash in the experiment manifest.</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Times New Roman"/>
          <w:b w:val="0"/>
          <w:i w:val="0"/>
          <w:sz w:val="17"/>
        </w:rPr>
        <w:t>Table 2: nnU-Net ablation of the two structural priors. The same native checkpoint and matched training schedule must be used for every row.</w:t>
      </w:r>
    </w:p>
    <w:tbl>
      <w:tblPr>
        <w:tblW w:type="auto" w:w="0"/>
        <w:jc w:val="center"/>
        <w:tblLayout w:type="fixed"/>
        <w:tblLook w:firstColumn="1" w:firstRow="1" w:lastColumn="0" w:lastRow="0" w:noHBand="0" w:noVBand="1" w:val="04A0"/>
      </w:tblPr>
      <w:tblGrid>
        <w:gridCol w:w="1473"/>
        <w:gridCol w:w="1473"/>
        <w:gridCol w:w="1473"/>
        <w:gridCol w:w="1473"/>
        <w:gridCol w:w="1473"/>
        <w:gridCol w:w="1473"/>
        <w:gridCol w:w="1473"/>
      </w:tblGrid>
      <w:tr>
        <w:trPr>
          <w:tblHeader w:val="true"/>
        </w:trPr>
        <w:tc>
          <w:tcPr>
            <w:tcW w:type="dxa" w:w="936"/>
            <w:shd w:fill="EAEAEA"/>
            <w:tcMar>
              <w:top w:w="45" w:type="dxa"/>
              <w:start w:w="35" w:type="dxa"/>
              <w:bottom w:w="45" w:type="dxa"/>
              <w:end w:w="35" w:type="dxa"/>
            </w:tcMar>
          </w:tcPr>
          <w:p>
            <w:pPr>
              <w:jc w:val="center"/>
            </w:pPr>
            <w:r>
              <w:rPr>
                <w:rFonts w:ascii="Times New Roman" w:hAnsi="Times New Roman" w:eastAsia="Times New Roman"/>
                <w:b/>
                <w:i w:val="0"/>
                <w:sz w:val="15"/>
              </w:rPr>
              <w:t>Dataset</w:t>
            </w:r>
          </w:p>
        </w:tc>
        <w:tc>
          <w:tcPr>
            <w:tcW w:type="dxa" w:w="1800"/>
            <w:shd w:fill="EAEAEA"/>
            <w:tcMar>
              <w:top w:w="45" w:type="dxa"/>
              <w:start w:w="35" w:type="dxa"/>
              <w:bottom w:w="45" w:type="dxa"/>
              <w:end w:w="35" w:type="dxa"/>
            </w:tcMar>
          </w:tcPr>
          <w:p>
            <w:pPr>
              <w:jc w:val="center"/>
            </w:pPr>
            <w:r>
              <w:rPr>
                <w:rFonts w:ascii="Times New Roman" w:hAnsi="Times New Roman" w:eastAsia="Times New Roman"/>
                <w:b/>
                <w:i w:val="0"/>
                <w:sz w:val="15"/>
              </w:rPr>
              <w:t>Variant</w:t>
            </w:r>
          </w:p>
        </w:tc>
        <w:tc>
          <w:tcPr>
            <w:tcW w:type="dxa" w:w="1080"/>
            <w:shd w:fill="EAEAEA"/>
            <w:tcMar>
              <w:top w:w="45" w:type="dxa"/>
              <w:start w:w="35" w:type="dxa"/>
              <w:bottom w:w="45" w:type="dxa"/>
              <w:end w:w="35" w:type="dxa"/>
            </w:tcMar>
          </w:tcPr>
          <w:p>
            <w:pPr>
              <w:jc w:val="center"/>
            </w:pPr>
            <w:r>
              <w:rPr>
                <w:rFonts w:ascii="Times New Roman" w:hAnsi="Times New Roman" w:eastAsia="Times New Roman"/>
                <w:b/>
                <w:i w:val="0"/>
                <w:sz w:val="15"/>
              </w:rPr>
              <w:t>Seam input</w:t>
            </w:r>
          </w:p>
        </w:tc>
        <w:tc>
          <w:tcPr>
            <w:tcW w:type="dxa" w:w="1181"/>
            <w:shd w:fill="EAEAEA"/>
            <w:tcMar>
              <w:top w:w="45" w:type="dxa"/>
              <w:start w:w="35" w:type="dxa"/>
              <w:bottom w:w="45" w:type="dxa"/>
              <w:end w:w="35" w:type="dxa"/>
            </w:tcMar>
          </w:tcPr>
          <w:p>
            <w:pPr>
              <w:jc w:val="center"/>
            </w:pPr>
            <w:r>
              <w:rPr>
                <w:rFonts w:ascii="Times New Roman" w:hAnsi="Times New Roman" w:eastAsia="Times New Roman"/>
                <w:b/>
                <w:i w:val="0"/>
                <w:sz w:val="15"/>
              </w:rPr>
              <w:t>Overlap output</w:t>
            </w:r>
          </w:p>
        </w:tc>
        <w:tc>
          <w:tcPr>
            <w:tcW w:type="dxa" w:w="1944"/>
            <w:shd w:fill="EAEAEA"/>
            <w:tcMar>
              <w:top w:w="45" w:type="dxa"/>
              <w:start w:w="35" w:type="dxa"/>
              <w:bottom w:w="45" w:type="dxa"/>
              <w:end w:w="35" w:type="dxa"/>
            </w:tcMar>
          </w:tcPr>
          <w:p>
            <w:pPr>
              <w:jc w:val="center"/>
            </w:pPr>
            <w:r>
              <w:rPr>
                <w:rFonts w:ascii="Times New Roman" w:hAnsi="Times New Roman" w:eastAsia="Times New Roman"/>
                <w:b/>
                <w:i w:val="0"/>
                <w:sz w:val="15"/>
              </w:rPr>
              <w:t>Primary overlap metric</w:t>
            </w:r>
          </w:p>
        </w:tc>
        <w:tc>
          <w:tcPr>
            <w:tcW w:type="dxa" w:w="1944"/>
            <w:shd w:fill="EAEAEA"/>
            <w:tcMar>
              <w:top w:w="45" w:type="dxa"/>
              <w:start w:w="35" w:type="dxa"/>
              <w:bottom w:w="45" w:type="dxa"/>
              <w:end w:w="35" w:type="dxa"/>
            </w:tcMar>
          </w:tcPr>
          <w:p>
            <w:pPr>
              <w:jc w:val="center"/>
            </w:pPr>
            <w:r>
              <w:rPr>
                <w:rFonts w:ascii="Times New Roman" w:hAnsi="Times New Roman" w:eastAsia="Times New Roman"/>
                <w:b/>
                <w:i w:val="0"/>
                <w:sz w:val="15"/>
              </w:rPr>
              <w:t>Boundary/surface metric</w:t>
            </w:r>
          </w:p>
        </w:tc>
        <w:tc>
          <w:tcPr>
            <w:tcW w:type="dxa" w:w="1440"/>
            <w:shd w:fill="EAEAEA"/>
            <w:tcMar>
              <w:top w:w="45" w:type="dxa"/>
              <w:start w:w="35" w:type="dxa"/>
              <w:bottom w:w="45" w:type="dxa"/>
              <w:end w:w="35" w:type="dxa"/>
            </w:tcMar>
          </w:tcPr>
          <w:p>
            <w:pPr>
              <w:jc w:val="center"/>
            </w:pPr>
            <w:r>
              <w:rPr>
                <w:rFonts w:ascii="Times New Roman" w:hAnsi="Times New Roman" w:eastAsia="Times New Roman"/>
                <w:b/>
                <w:i w:val="0"/>
                <w:sz w:val="15"/>
              </w:rPr>
              <w:t>Δ vs matched base</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Native-Continue</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val="0"/>
                <w:i w:val="0"/>
                <w:sz w:val="15"/>
              </w:rPr>
              <w:t>–</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Seam-Only</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Overlap-Only</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Dual-Prior</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RAM</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Native-Continue</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val="0"/>
                <w:i w:val="0"/>
                <w:sz w:val="15"/>
              </w:rPr>
              <w:t>–</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RAM</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Seam-Only</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RAM</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Overlap-Only</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936"/>
            <w:tcMar>
              <w:top w:w="35" w:type="dxa"/>
              <w:start w:w="32" w:type="dxa"/>
              <w:bottom w:w="35" w:type="dxa"/>
              <w:end w:w="32" w:type="dxa"/>
            </w:tcMar>
          </w:tcPr>
          <w:p>
            <w:pPr>
              <w:jc w:val="left"/>
            </w:pPr>
            <w:r>
              <w:rPr>
                <w:rFonts w:ascii="Times New Roman" w:hAnsi="Times New Roman" w:eastAsia="Times New Roman"/>
                <w:b w:val="0"/>
                <w:i w:val="0"/>
                <w:sz w:val="15"/>
              </w:rPr>
              <w:t>RAM</w:t>
            </w:r>
          </w:p>
        </w:tc>
        <w:tc>
          <w:tcPr>
            <w:tcW w:type="dxa" w:w="1800"/>
            <w:tcMar>
              <w:top w:w="35" w:type="dxa"/>
              <w:start w:w="32" w:type="dxa"/>
              <w:bottom w:w="35" w:type="dxa"/>
              <w:end w:w="32" w:type="dxa"/>
            </w:tcMar>
          </w:tcPr>
          <w:p>
            <w:pPr>
              <w:jc w:val="center"/>
            </w:pPr>
            <w:r>
              <w:rPr>
                <w:rFonts w:ascii="Times New Roman" w:hAnsi="Times New Roman" w:eastAsia="Times New Roman"/>
                <w:b w:val="0"/>
                <w:i w:val="0"/>
                <w:sz w:val="15"/>
              </w:rPr>
              <w:t>Dual-Prior</w:t>
            </w:r>
          </w:p>
        </w:tc>
        <w:tc>
          <w:tcPr>
            <w:tcW w:type="dxa" w:w="1080"/>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181"/>
            <w:tcMar>
              <w:top w:w="35" w:type="dxa"/>
              <w:start w:w="32" w:type="dxa"/>
              <w:bottom w:w="35" w:type="dxa"/>
              <w:end w:w="32" w:type="dxa"/>
            </w:tcMar>
          </w:tcPr>
          <w:p>
            <w:pPr>
              <w:jc w:val="center"/>
            </w:pPr>
            <w:r>
              <w:rPr>
                <w:rFonts w:ascii="Times New Roman" w:hAnsi="Times New Roman" w:eastAsia="Times New Roman"/>
                <w:b w:val="0"/>
                <w:i w:val="0"/>
                <w:sz w:val="15"/>
              </w:rPr>
              <w:t>✓</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94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bl>
    <w:p>
      <w:pPr>
        <w:spacing w:before="20" w:after="60"/>
        <w:jc w:val="both"/>
      </w:pPr>
      <w:r>
        <w:rPr>
          <w:rFonts w:ascii="Times New Roman" w:hAnsi="Times New Roman" w:eastAsia="Times New Roman"/>
          <w:b w:val="0"/>
          <w:i w:val="0"/>
          <w:sz w:val="15"/>
        </w:rPr>
        <w:t>The final paper should report mean ± standard deviation over the selected number of seeds (target: at least three) or a paired bootstrap confidence interval where appropriate.</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Ablations</w:t>
      </w:r>
    </w:p>
    <w:p>
      <w:pPr>
        <w:keepNext/>
        <w:spacing w:before="60" w:after="30"/>
        <w:jc w:val="left"/>
      </w:pPr>
      <w:r>
        <w:rPr>
          <w:rFonts w:ascii="Times New Roman" w:hAnsi="Times New Roman" w:eastAsia="Times New Roman"/>
          <w:b/>
          <w:i w:val="0"/>
          <w:sz w:val="19"/>
        </w:rPr>
        <w:t xml:space="preserve">Complementarity of seam and overlap priors.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Table 2 separates the contribution of the two priors. On TSRS, we expect the seam-only configuration to provide the clearest structural gain because true overlap membership is unobserved; the overlap branch is therefore evaluated as a transferred weak cue rather than assumed to be beneficial. On RAM-W600, the overlap-only configuration directly exploits observable multi-membership and should account for most of the completion gain. The dual-prior model is considered successful when it preserves the strength of the dominant prior while avoiding a systematic penalty on the complementary structural objective. Final measured effects: </w:t>
      </w:r>
      <w:r>
        <w:rPr>
          <w:rFonts w:ascii="Times New Roman" w:hAnsi="Times New Roman" w:eastAsia="Times New Roman"/>
          <w:b/>
          <w:i w:val="0"/>
          <w:color w:val="C00000"/>
          <w:sz w:val="18"/>
        </w:rPr>
        <w:t>[TBD]</w:t>
      </w:r>
      <w:r>
        <w:rPr>
          <w:rFonts w:ascii="Times New Roman" w:hAnsi="Times New Roman" w:eastAsia="Times New Roman"/>
          <w:b w:val="0"/>
          <w:i w:val="0"/>
          <w:sz w:val="18"/>
        </w:rPr>
        <w:t>.</w:t>
      </w:r>
    </w:p>
    <w:p>
      <w:pPr>
        <w:keepNext/>
        <w:spacing w:before="60" w:after="30"/>
        <w:jc w:val="left"/>
      </w:pPr>
      <w:r>
        <w:rPr>
          <w:rFonts w:ascii="Times New Roman" w:hAnsi="Times New Roman" w:eastAsia="Times New Roman"/>
          <w:b/>
          <w:i w:val="0"/>
          <w:sz w:val="19"/>
        </w:rPr>
        <w:t xml:space="preserve">Observable versus unobservable overlap supervision.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We ablate the supervision-availability mask by comparing the correct formulation against </w:t>
      </w:r>
      <w:r>
        <w:rPr>
          <w:rFonts w:ascii="Times New Roman" w:hAnsi="Times New Roman" w:eastAsia="Times New Roman"/>
          <w:b/>
          <w:i w:val="0"/>
          <w:color w:val="C00000"/>
          <w:sz w:val="18"/>
        </w:rPr>
        <w:t>[TBD: if ethically and scientifically useful, a controlled diagnostic that incorrectly treats unobserved TSRS overlap as negative]</w:t>
      </w:r>
      <w:r>
        <w:rPr>
          <w:rFonts w:ascii="Times New Roman" w:hAnsi="Times New Roman" w:eastAsia="Times New Roman"/>
          <w:b w:val="0"/>
          <w:i w:val="0"/>
          <w:sz w:val="18"/>
        </w:rPr>
        <w:t>. This experiment is optional and should be included only if it clarifies the method without creating a misleading training condition. The primary method always treats TSRS multi-membership as unknown.</w:t>
      </w:r>
    </w:p>
    <w:p>
      <w:pPr>
        <w:keepNext/>
        <w:spacing w:before="60" w:after="30"/>
        <w:jc w:val="left"/>
      </w:pPr>
      <w:r>
        <w:rPr>
          <w:rFonts w:ascii="Times New Roman" w:hAnsi="Times New Roman" w:eastAsia="Times New Roman"/>
          <w:b/>
          <w:i w:val="0"/>
          <w:sz w:val="19"/>
        </w:rPr>
        <w:t xml:space="preserve">Gradient routing and preservation. </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To test whether structural objectives destabilize the base model, we compare naive weighted summation with the primary-gradient-anchored router and with/without the preservation term. We report the full standard metric vector and the fraction of auxiliary steps that required projection. The expected outcome is not guaranteed improvement in every metric; rather, routing should reduce the frequency and magnitude of degradations relative to naive multi-objective training. Final results: </w:t>
      </w:r>
      <w:r>
        <w:rPr>
          <w:rFonts w:ascii="Times New Roman" w:hAnsi="Times New Roman" w:eastAsia="Times New Roman"/>
          <w:b/>
          <w:i w:val="0"/>
          <w:color w:val="C00000"/>
          <w:sz w:val="18"/>
        </w:rPr>
        <w:t>[TBD]</w:t>
      </w:r>
      <w:r>
        <w:rPr>
          <w:rFonts w:ascii="Times New Roman" w:hAnsi="Times New Roman" w:eastAsia="Times New Roman"/>
          <w:b w:val="0"/>
          <w:i w:val="0"/>
          <w:sz w:val="18"/>
        </w:rPr>
        <w:t>.</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Times New Roman"/>
          <w:b w:val="0"/>
          <w:i w:val="0"/>
          <w:sz w:val="17"/>
        </w:rPr>
        <w:t>Table 3: Backbone portability of DualPriorSeg. Each +Prior row reuses the same structural-prior interface and is compared against a matched base backbone.</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trPr>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Dataset</w:t>
            </w:r>
          </w:p>
        </w:tc>
        <w:tc>
          <w:tcPr>
            <w:tcW w:type="dxa" w:w="2160"/>
            <w:shd w:fill="EAEAEA"/>
            <w:tcMar>
              <w:top w:w="45" w:type="dxa"/>
              <w:start w:w="35" w:type="dxa"/>
              <w:bottom w:w="45" w:type="dxa"/>
              <w:end w:w="35" w:type="dxa"/>
            </w:tcMar>
          </w:tcPr>
          <w:p>
            <w:pPr>
              <w:jc w:val="center"/>
            </w:pPr>
            <w:r>
              <w:rPr>
                <w:rFonts w:ascii="Times New Roman" w:hAnsi="Times New Roman" w:eastAsia="Times New Roman"/>
                <w:b/>
                <w:i w:val="0"/>
                <w:sz w:val="15"/>
              </w:rPr>
              <w:t>Backbone</w:t>
            </w:r>
          </w:p>
        </w:tc>
        <w:tc>
          <w:tcPr>
            <w:tcW w:type="dxa" w:w="1584"/>
            <w:shd w:fill="EAEAEA"/>
            <w:tcMar>
              <w:top w:w="45" w:type="dxa"/>
              <w:start w:w="35" w:type="dxa"/>
              <w:bottom w:w="45" w:type="dxa"/>
              <w:end w:w="35" w:type="dxa"/>
            </w:tcMar>
          </w:tcPr>
          <w:p>
            <w:pPr>
              <w:jc w:val="center"/>
            </w:pPr>
            <w:r>
              <w:rPr>
                <w:rFonts w:ascii="Times New Roman" w:hAnsi="Times New Roman" w:eastAsia="Times New Roman"/>
                <w:b/>
                <w:i w:val="0"/>
                <w:sz w:val="15"/>
              </w:rPr>
              <w:t>Base metric</w:t>
            </w:r>
          </w:p>
        </w:tc>
        <w:tc>
          <w:tcPr>
            <w:tcW w:type="dxa" w:w="1728"/>
            <w:shd w:fill="EAEAEA"/>
            <w:tcMar>
              <w:top w:w="45" w:type="dxa"/>
              <w:start w:w="35" w:type="dxa"/>
              <w:bottom w:w="45" w:type="dxa"/>
              <w:end w:w="35" w:type="dxa"/>
            </w:tcMar>
          </w:tcPr>
          <w:p>
            <w:pPr>
              <w:jc w:val="center"/>
            </w:pPr>
            <w:r>
              <w:rPr>
                <w:rFonts w:ascii="Times New Roman" w:hAnsi="Times New Roman" w:eastAsia="Times New Roman"/>
                <w:b/>
                <w:i w:val="0"/>
                <w:sz w:val="15"/>
              </w:rPr>
              <w:t>+DualPriorSeg</w:t>
            </w:r>
          </w:p>
        </w:tc>
        <w:tc>
          <w:tcPr>
            <w:tcW w:type="dxa" w:w="1440"/>
            <w:shd w:fill="EAEAEA"/>
            <w:tcMar>
              <w:top w:w="45" w:type="dxa"/>
              <w:start w:w="35" w:type="dxa"/>
              <w:bottom w:w="45" w:type="dxa"/>
              <w:end w:w="35" w:type="dxa"/>
            </w:tcMar>
          </w:tcPr>
          <w:p>
            <w:pPr>
              <w:jc w:val="center"/>
            </w:pPr>
            <w:r>
              <w:rPr>
                <w:rFonts w:ascii="Times New Roman" w:hAnsi="Times New Roman" w:eastAsia="Times New Roman"/>
                <w:b/>
                <w:i w:val="0"/>
                <w:sz w:val="15"/>
              </w:rPr>
              <w:t>Absolute gain</w:t>
            </w:r>
          </w:p>
        </w:tc>
        <w:tc>
          <w:tcPr>
            <w:tcW w:type="dxa" w:w="2088"/>
            <w:shd w:fill="EAEAEA"/>
            <w:tcMar>
              <w:top w:w="45" w:type="dxa"/>
              <w:start w:w="35" w:type="dxa"/>
              <w:bottom w:w="45" w:type="dxa"/>
              <w:end w:w="35" w:type="dxa"/>
            </w:tcMar>
          </w:tcPr>
          <w:p>
            <w:pPr>
              <w:jc w:val="center"/>
            </w:pPr>
            <w:r>
              <w:rPr>
                <w:rFonts w:ascii="Times New Roman" w:hAnsi="Times New Roman" w:eastAsia="Times New Roman"/>
                <w:b/>
                <w:i w:val="0"/>
                <w:sz w:val="15"/>
              </w:rPr>
              <w:t>Boundary/surface gain</w:t>
            </w:r>
          </w:p>
        </w:tc>
      </w:tr>
      <w:tr>
        <w:tc>
          <w:tcPr>
            <w:tcW w:type="dxa" w:w="129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2160"/>
            <w:tcMar>
              <w:top w:w="35" w:type="dxa"/>
              <w:start w:w="32" w:type="dxa"/>
              <w:bottom w:w="35" w:type="dxa"/>
              <w:end w:w="32" w:type="dxa"/>
            </w:tcMar>
          </w:tcPr>
          <w:p>
            <w:pPr>
              <w:jc w:val="center"/>
            </w:pPr>
            <w:r>
              <w:rPr>
                <w:rFonts w:ascii="Times New Roman" w:hAnsi="Times New Roman" w:eastAsia="Times New Roman"/>
                <w:b w:val="0"/>
                <w:i w:val="0"/>
                <w:sz w:val="15"/>
              </w:rPr>
              <w:t>nnU-Net</w:t>
            </w:r>
          </w:p>
        </w:tc>
        <w:tc>
          <w:tcPr>
            <w:tcW w:type="dxa" w:w="158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72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208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29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2160"/>
            <w:tcMar>
              <w:top w:w="35" w:type="dxa"/>
              <w:start w:w="32" w:type="dxa"/>
              <w:bottom w:w="35" w:type="dxa"/>
              <w:end w:w="32" w:type="dxa"/>
            </w:tcMar>
          </w:tcPr>
          <w:p>
            <w:pPr>
              <w:jc w:val="center"/>
            </w:pPr>
            <w:r>
              <w:rPr>
                <w:rFonts w:ascii="Times New Roman" w:hAnsi="Times New Roman" w:eastAsia="Times New Roman"/>
                <w:b w:val="0"/>
                <w:i w:val="0"/>
                <w:sz w:val="15"/>
              </w:rPr>
              <w:t>TransUNet</w:t>
            </w:r>
          </w:p>
        </w:tc>
        <w:tc>
          <w:tcPr>
            <w:tcW w:type="dxa" w:w="158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72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208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296"/>
            <w:tcMar>
              <w:top w:w="35" w:type="dxa"/>
              <w:start w:w="32" w:type="dxa"/>
              <w:bottom w:w="35" w:type="dxa"/>
              <w:end w:w="32" w:type="dxa"/>
            </w:tcMar>
          </w:tcPr>
          <w:p>
            <w:pPr>
              <w:jc w:val="left"/>
            </w:pPr>
            <w:r>
              <w:rPr>
                <w:rFonts w:ascii="Times New Roman" w:hAnsi="Times New Roman" w:eastAsia="Times New Roman"/>
                <w:b w:val="0"/>
                <w:i w:val="0"/>
                <w:sz w:val="15"/>
              </w:rPr>
              <w:t>TSRS</w:t>
            </w:r>
          </w:p>
        </w:tc>
        <w:tc>
          <w:tcPr>
            <w:tcW w:type="dxa" w:w="2160"/>
            <w:tcMar>
              <w:top w:w="35" w:type="dxa"/>
              <w:start w:w="32" w:type="dxa"/>
              <w:bottom w:w="35" w:type="dxa"/>
              <w:end w:w="32" w:type="dxa"/>
            </w:tcMar>
          </w:tcPr>
          <w:p>
            <w:pPr>
              <w:jc w:val="center"/>
            </w:pPr>
            <w:r>
              <w:rPr>
                <w:rFonts w:ascii="Times New Roman" w:hAnsi="Times New Roman" w:eastAsia="Times New Roman"/>
                <w:b w:val="0"/>
                <w:i w:val="0"/>
                <w:sz w:val="15"/>
              </w:rPr>
              <w:t>Swin-UMamba</w:t>
            </w:r>
          </w:p>
        </w:tc>
        <w:tc>
          <w:tcPr>
            <w:tcW w:type="dxa" w:w="158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72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208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296"/>
            <w:tcMar>
              <w:top w:w="35" w:type="dxa"/>
              <w:start w:w="32" w:type="dxa"/>
              <w:bottom w:w="35" w:type="dxa"/>
              <w:end w:w="32" w:type="dxa"/>
            </w:tcMar>
          </w:tcPr>
          <w:p>
            <w:pPr>
              <w:jc w:val="left"/>
            </w:pPr>
            <w:r>
              <w:rPr>
                <w:rFonts w:ascii="Times New Roman" w:hAnsi="Times New Roman" w:eastAsia="Times New Roman"/>
                <w:b w:val="0"/>
                <w:i w:val="0"/>
                <w:sz w:val="15"/>
              </w:rPr>
              <w:t>RAM-W600</w:t>
            </w:r>
          </w:p>
        </w:tc>
        <w:tc>
          <w:tcPr>
            <w:tcW w:type="dxa" w:w="2160"/>
            <w:tcMar>
              <w:top w:w="35" w:type="dxa"/>
              <w:start w:w="32" w:type="dxa"/>
              <w:bottom w:w="35" w:type="dxa"/>
              <w:end w:w="32" w:type="dxa"/>
            </w:tcMar>
          </w:tcPr>
          <w:p>
            <w:pPr>
              <w:jc w:val="center"/>
            </w:pPr>
            <w:r>
              <w:rPr>
                <w:rFonts w:ascii="Times New Roman" w:hAnsi="Times New Roman" w:eastAsia="Times New Roman"/>
                <w:b w:val="0"/>
                <w:i w:val="0"/>
                <w:sz w:val="15"/>
              </w:rPr>
              <w:t>nnU-Net</w:t>
            </w:r>
          </w:p>
        </w:tc>
        <w:tc>
          <w:tcPr>
            <w:tcW w:type="dxa" w:w="158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72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208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296"/>
            <w:tcMar>
              <w:top w:w="35" w:type="dxa"/>
              <w:start w:w="32" w:type="dxa"/>
              <w:bottom w:w="35" w:type="dxa"/>
              <w:end w:w="32" w:type="dxa"/>
            </w:tcMar>
          </w:tcPr>
          <w:p>
            <w:pPr>
              <w:jc w:val="left"/>
            </w:pPr>
            <w:r>
              <w:rPr>
                <w:rFonts w:ascii="Times New Roman" w:hAnsi="Times New Roman" w:eastAsia="Times New Roman"/>
                <w:b w:val="0"/>
                <w:i w:val="0"/>
                <w:sz w:val="15"/>
              </w:rPr>
              <w:t>RAM-W600</w:t>
            </w:r>
          </w:p>
        </w:tc>
        <w:tc>
          <w:tcPr>
            <w:tcW w:type="dxa" w:w="2160"/>
            <w:tcMar>
              <w:top w:w="35" w:type="dxa"/>
              <w:start w:w="32" w:type="dxa"/>
              <w:bottom w:w="35" w:type="dxa"/>
              <w:end w:w="32" w:type="dxa"/>
            </w:tcMar>
          </w:tcPr>
          <w:p>
            <w:pPr>
              <w:jc w:val="center"/>
            </w:pPr>
            <w:r>
              <w:rPr>
                <w:rFonts w:ascii="Times New Roman" w:hAnsi="Times New Roman" w:eastAsia="Times New Roman"/>
                <w:b w:val="0"/>
                <w:i w:val="0"/>
                <w:sz w:val="15"/>
              </w:rPr>
              <w:t>TransUNet</w:t>
            </w:r>
          </w:p>
        </w:tc>
        <w:tc>
          <w:tcPr>
            <w:tcW w:type="dxa" w:w="158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72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208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r>
        <w:tc>
          <w:tcPr>
            <w:tcW w:type="dxa" w:w="1296"/>
            <w:tcMar>
              <w:top w:w="35" w:type="dxa"/>
              <w:start w:w="32" w:type="dxa"/>
              <w:bottom w:w="35" w:type="dxa"/>
              <w:end w:w="32" w:type="dxa"/>
            </w:tcMar>
          </w:tcPr>
          <w:p>
            <w:pPr>
              <w:jc w:val="left"/>
            </w:pPr>
            <w:r>
              <w:rPr>
                <w:rFonts w:ascii="Times New Roman" w:hAnsi="Times New Roman" w:eastAsia="Times New Roman"/>
                <w:b w:val="0"/>
                <w:i w:val="0"/>
                <w:sz w:val="15"/>
              </w:rPr>
              <w:t>RAM-W600</w:t>
            </w:r>
          </w:p>
        </w:tc>
        <w:tc>
          <w:tcPr>
            <w:tcW w:type="dxa" w:w="2160"/>
            <w:tcMar>
              <w:top w:w="35" w:type="dxa"/>
              <w:start w:w="32" w:type="dxa"/>
              <w:bottom w:w="35" w:type="dxa"/>
              <w:end w:w="32" w:type="dxa"/>
            </w:tcMar>
          </w:tcPr>
          <w:p>
            <w:pPr>
              <w:jc w:val="center"/>
            </w:pPr>
            <w:r>
              <w:rPr>
                <w:rFonts w:ascii="Times New Roman" w:hAnsi="Times New Roman" w:eastAsia="Times New Roman"/>
                <w:b w:val="0"/>
                <w:i w:val="0"/>
                <w:sz w:val="15"/>
              </w:rPr>
              <w:t>Swin-UMamba</w:t>
            </w:r>
          </w:p>
        </w:tc>
        <w:tc>
          <w:tcPr>
            <w:tcW w:type="dxa" w:w="1584"/>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72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440"/>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2088"/>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bl>
    <w:p>
      <w:pPr>
        <w:spacing w:before="20" w:after="60"/>
        <w:jc w:val="both"/>
      </w:pPr>
      <w:r>
        <w:rPr>
          <w:rFonts w:ascii="Times New Roman" w:hAnsi="Times New Roman" w:eastAsia="Times New Roman"/>
          <w:b w:val="0"/>
          <w:i w:val="0"/>
          <w:sz w:val="15"/>
        </w:rPr>
        <w:t>Use the same preprocessing, data split, training budget, and checkpoint-selection rule within each backbone pair. Do not compare a separately tuned +Prior model against an under-trained base model.</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Backbone Portability</w:t>
      </w:r>
    </w:p>
    <w:p>
      <w:pPr>
        <w:pStyle w:val="BodyText"/>
        <w:keepLines w:val="0"/>
        <w:spacing w:after="0" w:before="0" w:line="240" w:lineRule="auto"/>
        <w:ind w:firstLine="230"/>
        <w:jc w:val="both"/>
      </w:pPr>
      <w:r>
        <w:rPr>
          <w:rFonts w:ascii="Times New Roman" w:hAnsi="Times New Roman" w:eastAsia="Times New Roman"/>
          <w:b w:val="0"/>
          <w:i w:val="0"/>
          <w:sz w:val="18"/>
        </w:rPr>
        <w:t xml:space="preserve">Table 3 evaluates the main backbone-agnostic claim. The structural modules are not re-designed for each architecture; only the native input/output adapter is replaced. DualPriorSeg changes nnU-Net by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TransUNet by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and Swin-UMamba by </w:t>
      </w:r>
      <w:r>
        <w:rPr>
          <w:rFonts w:ascii="Times New Roman" w:hAnsi="Times New Roman" w:eastAsia="Times New Roman"/>
          <w:b/>
          <w:i w:val="0"/>
          <w:color w:val="C00000"/>
          <w:sz w:val="18"/>
        </w:rPr>
        <w:t>[TBD]</w:t>
      </w:r>
      <w:r>
        <w:rPr>
          <w:rFonts w:ascii="Times New Roman" w:hAnsi="Times New Roman" w:eastAsia="Times New Roman"/>
          <w:b w:val="0"/>
          <w:i w:val="0"/>
          <w:sz w:val="18"/>
        </w:rPr>
        <w:t xml:space="preserve"> on TSRS, with corresponding RAM-W600 changes of </w:t>
      </w:r>
      <w:r>
        <w:rPr>
          <w:rFonts w:ascii="Times New Roman" w:hAnsi="Times New Roman" w:eastAsia="Times New Roman"/>
          <w:b/>
          <w:i w:val="0"/>
          <w:color w:val="C00000"/>
          <w:sz w:val="18"/>
        </w:rPr>
        <w:t>[TBD]</w:t>
      </w:r>
      <w:r>
        <w:rPr>
          <w:rFonts w:ascii="Times New Roman" w:hAnsi="Times New Roman" w:eastAsia="Times New Roman"/>
          <w:b w:val="0"/>
          <w:i w:val="0"/>
          <w:sz w:val="18"/>
        </w:rPr>
        <w:t>. Consistent positive or non-inferior behavior across architecturally different backbones would support the claim that the priors act as a reusable structural interface rather than as a hidden nnU-Net-specific modification.</w:t>
      </w:r>
    </w:p>
    <w:p>
      <w:pPr>
        <w:sectPr>
          <w:type w:val="continuous"/>
          <w:pgSz w:w="12240" w:h="15840"/>
          <w:pgMar w:top="922" w:right="965" w:bottom="893" w:left="965" w:header="360" w:footer="360" w:gutter="0"/>
          <w:cols w:space="280" w:num="2"/>
          <w:docGrid w:linePitch="360"/>
        </w:sectPr>
      </w:pPr>
    </w:p>
    <w:p>
      <w:pPr>
        <w:spacing w:before="40" w:after="40"/>
        <w:jc w:val="center"/>
      </w:pPr>
      <w:r>
        <w:rPr>
          <w:rFonts w:ascii="Times New Roman" w:hAnsi="Times New Roman" w:eastAsia="Times New Roman"/>
          <w:b w:val="0"/>
          <w:i w:val="0"/>
          <w:sz w:val="17"/>
        </w:rPr>
        <w:t>Table 4: RAM-W600 benchmark comparison under the official segmentation protocol.</w:t>
      </w:r>
    </w:p>
    <w:tbl>
      <w:tblPr>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trPr>
        <w:tc>
          <w:tcPr>
            <w:tcW w:type="dxa" w:w="3168"/>
            <w:shd w:fill="EAEAEA"/>
            <w:tcMar>
              <w:top w:w="45" w:type="dxa"/>
              <w:start w:w="35" w:type="dxa"/>
              <w:bottom w:w="45" w:type="dxa"/>
              <w:end w:w="35" w:type="dxa"/>
            </w:tcMar>
          </w:tcPr>
          <w:p>
            <w:pPr>
              <w:jc w:val="center"/>
            </w:pPr>
            <w:r>
              <w:rPr>
                <w:rFonts w:ascii="Times New Roman" w:hAnsi="Times New Roman" w:eastAsia="Times New Roman"/>
                <w:b/>
                <w:i w:val="0"/>
                <w:sz w:val="15"/>
              </w:rPr>
              <w:t>Method</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DSC ↑</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NSD ↑</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VOE ↓</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MSD ↓</w:t>
            </w:r>
          </w:p>
        </w:tc>
        <w:tc>
          <w:tcPr>
            <w:tcW w:type="dxa" w:w="1296"/>
            <w:shd w:fill="EAEAEA"/>
            <w:tcMar>
              <w:top w:w="45" w:type="dxa"/>
              <w:start w:w="35" w:type="dxa"/>
              <w:bottom w:w="45" w:type="dxa"/>
              <w:end w:w="35" w:type="dxa"/>
            </w:tcMar>
          </w:tcPr>
          <w:p>
            <w:pPr>
              <w:jc w:val="center"/>
            </w:pPr>
            <w:r>
              <w:rPr>
                <w:rFonts w:ascii="Times New Roman" w:hAnsi="Times New Roman" w:eastAsia="Times New Roman"/>
                <w:b/>
                <w:i w:val="0"/>
                <w:sz w:val="15"/>
              </w:rPr>
              <w:t>RAVD ↓</w:t>
            </w:r>
          </w:p>
        </w:tc>
      </w:tr>
      <w:tr>
        <w:tc>
          <w:tcPr>
            <w:tcW w:type="dxa" w:w="3168"/>
            <w:tcMar>
              <w:top w:w="35" w:type="dxa"/>
              <w:start w:w="32" w:type="dxa"/>
              <w:bottom w:w="35" w:type="dxa"/>
              <w:end w:w="32" w:type="dxa"/>
            </w:tcMar>
          </w:tcPr>
          <w:p>
            <w:pPr>
              <w:jc w:val="left"/>
            </w:pPr>
            <w:r>
              <w:rPr>
                <w:rFonts w:ascii="Times New Roman" w:hAnsi="Times New Roman" w:eastAsia="Times New Roman"/>
                <w:b w:val="0"/>
                <w:i w:val="0"/>
                <w:sz w:val="15"/>
              </w:rPr>
              <w:t>U-Net / official benchmark</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r>
      <w:tr>
        <w:tc>
          <w:tcPr>
            <w:tcW w:type="dxa" w:w="3168"/>
            <w:tcMar>
              <w:top w:w="35" w:type="dxa"/>
              <w:start w:w="32" w:type="dxa"/>
              <w:bottom w:w="35" w:type="dxa"/>
              <w:end w:w="32" w:type="dxa"/>
            </w:tcMar>
          </w:tcPr>
          <w:p>
            <w:pPr>
              <w:jc w:val="left"/>
            </w:pPr>
            <w:r>
              <w:rPr>
                <w:rFonts w:ascii="Times New Roman" w:hAnsi="Times New Roman" w:eastAsia="Times New Roman"/>
                <w:b w:val="0"/>
                <w:i w:val="0"/>
                <w:sz w:val="15"/>
              </w:rPr>
              <w:t>TransUNet / official benchmark</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r>
      <w:tr>
        <w:tc>
          <w:tcPr>
            <w:tcW w:type="dxa" w:w="3168"/>
            <w:tcMar>
              <w:top w:w="35" w:type="dxa"/>
              <w:start w:w="32" w:type="dxa"/>
              <w:bottom w:w="35" w:type="dxa"/>
              <w:end w:w="32" w:type="dxa"/>
            </w:tcMar>
          </w:tcPr>
          <w:p>
            <w:pPr>
              <w:jc w:val="left"/>
            </w:pPr>
            <w:r>
              <w:rPr>
                <w:rFonts w:ascii="Times New Roman" w:hAnsi="Times New Roman" w:eastAsia="Times New Roman"/>
                <w:b w:val="0"/>
                <w:i w:val="0"/>
                <w:sz w:val="15"/>
              </w:rPr>
              <w:t>Swin-UMamba / official benchmark</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[TBD/quoted]</w:t>
            </w:r>
          </w:p>
        </w:tc>
      </w:tr>
      <w:tr>
        <w:tc>
          <w:tcPr>
            <w:tcW w:type="dxa" w:w="3168"/>
            <w:tcMar>
              <w:top w:w="35" w:type="dxa"/>
              <w:start w:w="32" w:type="dxa"/>
              <w:bottom w:w="35" w:type="dxa"/>
              <w:end w:w="32" w:type="dxa"/>
            </w:tcMar>
          </w:tcPr>
          <w:p>
            <w:pPr>
              <w:jc w:val="left"/>
            </w:pPr>
            <w:r>
              <w:rPr>
                <w:rFonts w:ascii="Times New Roman" w:hAnsi="Times New Roman" w:eastAsia="Times New Roman"/>
                <w:b w:val="0"/>
                <w:i w:val="0"/>
                <w:sz w:val="15"/>
              </w:rPr>
              <w:t>DualPriorSeg + best backbone</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c>
          <w:tcPr>
            <w:tcW w:type="dxa" w:w="1296"/>
            <w:tcMar>
              <w:top w:w="35" w:type="dxa"/>
              <w:start w:w="32" w:type="dxa"/>
              <w:bottom w:w="35" w:type="dxa"/>
              <w:end w:w="32" w:type="dxa"/>
            </w:tcMar>
          </w:tcPr>
          <w:p>
            <w:pPr>
              <w:jc w:val="center"/>
            </w:pPr>
            <w:r>
              <w:rPr>
                <w:rFonts w:ascii="Times New Roman" w:hAnsi="Times New Roman" w:eastAsia="Times New Roman"/>
                <w:b/>
                <w:i w:val="0"/>
                <w:color w:val="C00000"/>
                <w:sz w:val="15"/>
              </w:rPr>
              <w:t>[TBD]</w:t>
            </w:r>
          </w:p>
        </w:tc>
      </w:tr>
    </w:tbl>
    <w:p>
      <w:pPr>
        <w:spacing w:before="20" w:after="60"/>
        <w:jc w:val="both"/>
      </w:pPr>
      <w:r>
        <w:rPr>
          <w:rFonts w:ascii="Times New Roman" w:hAnsi="Times New Roman" w:eastAsia="Times New Roman"/>
          <w:b w:val="0"/>
          <w:i w:val="0"/>
          <w:sz w:val="15"/>
        </w:rPr>
        <w:t>Published benchmark rows must be copied from the official RAM-W600 paper using the same metric definitions. Our final row must come from a frozen configuration evaluated on the official test split exactly once after validation selection.</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Comparison with Strong RAM-W600 Baselines</w:t>
      </w:r>
    </w:p>
    <w:p>
      <w:pPr>
        <w:pStyle w:val="BodyText"/>
        <w:keepLines w:val="0"/>
        <w:spacing w:after="0" w:before="0" w:line="240" w:lineRule="auto"/>
        <w:ind w:firstLine="230"/>
        <w:jc w:val="both"/>
      </w:pPr>
      <w:r>
        <w:rPr>
          <w:rFonts w:ascii="Times New Roman" w:hAnsi="Times New Roman" w:eastAsia="Times New Roman"/>
          <w:b w:val="0"/>
          <w:i w:val="0"/>
          <w:sz w:val="18"/>
        </w:rPr>
        <w:t xml:space="preserve">RAM-W600 provides a direct benchmark against strong supervised architectures. Table 4 will compare the final DualPriorSeg configuration with the official results of representative convolutional, Transformer, and Mamba-based systems. We will use “competitive with state-of-the-art architectures” when our method lies within the top published range without dominating every metric, and reserve a stronger state-of-the-art claim only if the official test result clearly exceeds the published benchmark under matched definitions. Final result statement: </w:t>
      </w:r>
      <w:r>
        <w:rPr>
          <w:rFonts w:ascii="Times New Roman" w:hAnsi="Times New Roman" w:eastAsia="Times New Roman"/>
          <w:b/>
          <w:i w:val="0"/>
          <w:color w:val="C00000"/>
          <w:sz w:val="18"/>
        </w:rPr>
        <w:t>[TBD]</w:t>
      </w:r>
      <w:r>
        <w:rPr>
          <w:rFonts w:ascii="Times New Roman" w:hAnsi="Times New Roman" w:eastAsia="Times New Roman"/>
          <w:b w:val="0"/>
          <w:i w:val="0"/>
          <w:sz w:val="18"/>
        </w:rPr>
        <w:t>.</w:t>
      </w:r>
    </w:p>
    <w:p>
      <w:pPr>
        <w:sectPr>
          <w:type w:val="continuous"/>
          <w:pgSz w:w="12240" w:h="15840"/>
          <w:pgMar w:top="922" w:right="965" w:bottom="893" w:left="965" w:header="360" w:footer="360" w:gutter="0"/>
          <w:cols w:space="280" w:num="2"/>
          <w:docGrid w:linePitch="360"/>
        </w:sectPr>
      </w:pPr>
    </w:p>
    <w:tbl>
      <w:tblPr>
        <w:tblW w:type="auto" w:w="0"/>
        <w:jc w:val="center"/>
        <w:tblLayout w:type="fixed"/>
        <w:tblLook w:firstColumn="1" w:firstRow="1" w:lastColumn="0" w:lastRow="0" w:noHBand="0" w:noVBand="1" w:val="04A0"/>
      </w:tblPr>
      <w:tblGrid>
        <w:gridCol w:w="10310"/>
      </w:tblGrid>
      <w:tr>
        <w:trPr>
          <w:trHeight w:val="3600" w:hRule="atLeast"/>
        </w:trPr>
        <w:tc>
          <w:tcPr>
            <w:tcW w:type="dxa" w:w="10080"/>
            <w:vAlign w:val="center"/>
            <w:shd w:fill="F3F3F3"/>
            <w:tcMar>
              <w:top w:w="100" w:type="dxa"/>
              <w:start w:w="100" w:type="dxa"/>
              <w:bottom w:w="100" w:type="dxa"/>
              <w:end w:w="100" w:type="dxa"/>
            </w:tcMar>
          </w:tcPr>
          <w:p>
            <w:pPr>
              <w:jc w:val="center"/>
            </w:pPr>
            <w:r>
              <w:rPr>
                <w:rFonts w:ascii="Times New Roman" w:hAnsi="Times New Roman" w:eastAsia="Times New Roman"/>
                <w:b/>
                <w:i w:val="0"/>
                <w:color w:val="787878"/>
                <w:sz w:val="20"/>
              </w:rPr>
              <w:t>[TBD FIGURE 3]</w:t>
              <w:br/>
              <w:t>Qualitative TSRS and RAM-W600 examples with error overlays</w:t>
            </w:r>
          </w:p>
        </w:tc>
      </w:tr>
    </w:tbl>
    <w:p>
      <w:pPr>
        <w:spacing w:before="40" w:after="60"/>
        <w:jc w:val="both"/>
      </w:pPr>
      <w:r>
        <w:rPr>
          <w:rFonts w:ascii="Times New Roman" w:hAnsi="Times New Roman" w:eastAsia="Times New Roman"/>
          <w:b w:val="0"/>
          <w:i w:val="0"/>
          <w:sz w:val="17"/>
        </w:rPr>
        <w:t>Figure 3: Qualitative results. Suggested layout: radiograph, ground truth, matched backbone prediction, seam-only prediction, dual-prior prediction, and error overlays. Include both successful and failure cases. Highlight narrow-gap false bridges on TSRS and projection-overlap completion on RAM-W600.</w:t>
      </w:r>
    </w:p>
    <w:p>
      <w:pPr>
        <w:sectPr>
          <w:type w:val="continuous"/>
          <w:pgSz w:w="12240" w:h="15840"/>
          <w:pgMar w:top="922" w:right="965" w:bottom="893" w:left="965" w:header="360" w:footer="360" w:gutter="0"/>
          <w:cols w:space="280" w:num="1"/>
          <w:docGrid w:linePitch="360"/>
        </w:sectPr>
      </w:pPr>
    </w:p>
    <w:p>
      <w:pPr>
        <w:keepNext/>
        <w:spacing w:before="100" w:after="30"/>
        <w:jc w:val="center"/>
      </w:pPr>
      <w:r>
        <w:rPr>
          <w:rFonts w:ascii="Times New Roman" w:hAnsi="Times New Roman" w:eastAsia="Times New Roman"/>
          <w:b/>
          <w:i w:val="0"/>
          <w:sz w:val="22"/>
        </w:rPr>
        <w:t>Qualitative Analysis</w:t>
      </w:r>
    </w:p>
    <w:p>
      <w:pPr>
        <w:pStyle w:val="BodyText"/>
        <w:keepLines w:val="0"/>
        <w:spacing w:after="0" w:before="0" w:line="240" w:lineRule="auto"/>
        <w:ind w:firstLine="230"/>
        <w:jc w:val="both"/>
      </w:pPr>
      <w:r>
        <w:rPr>
          <w:rFonts w:ascii="Times New Roman" w:hAnsi="Times New Roman" w:eastAsia="Times New Roman"/>
          <w:b w:val="0"/>
          <w:i w:val="0"/>
          <w:sz w:val="18"/>
        </w:rPr>
        <w:t xml:space="preserve">Figure 3 should illustrate the mechanism behind the aggregate metrics. For TSRS, representative examples should show whether a narrow background corridor remains open without eroding adjacent foreground. For RAM-W600, examples should show whether the refiner restores the missing member while avoiding indiscriminate foreground expansion. Failure cases are equally important: likely errors include over-suppression when seam evidence overlaps genuine projection ambiguity and false completion when the transferred overlap prior is over-confident. </w:t>
      </w:r>
      <w:r>
        <w:rPr>
          <w:rFonts w:ascii="Times New Roman" w:hAnsi="Times New Roman" w:eastAsia="Times New Roman"/>
          <w:b/>
          <w:i w:val="0"/>
          <w:color w:val="C00000"/>
          <w:sz w:val="18"/>
        </w:rPr>
        <w:t>[TBD: insert final case-level observations after the test set is frozen.]</w:t>
      </w:r>
    </w:p>
    <w:p>
      <w:pPr>
        <w:keepNext/>
        <w:spacing w:before="100" w:after="30"/>
        <w:jc w:val="center"/>
      </w:pPr>
      <w:r>
        <w:rPr>
          <w:rFonts w:ascii="Times New Roman" w:hAnsi="Times New Roman" w:eastAsia="Times New Roman"/>
          <w:b/>
          <w:i w:val="0"/>
          <w:sz w:val="22"/>
        </w:rPr>
        <w:t>Limitations</w:t>
      </w:r>
    </w:p>
    <w:p>
      <w:pPr>
        <w:pStyle w:val="BodyText"/>
        <w:keepLines w:val="0"/>
        <w:spacing w:after="0" w:before="0" w:line="240" w:lineRule="auto"/>
        <w:ind w:firstLine="230"/>
        <w:jc w:val="both"/>
      </w:pPr>
      <w:r>
        <w:rPr>
          <w:rFonts w:ascii="Times New Roman" w:hAnsi="Times New Roman" w:eastAsia="Times New Roman"/>
          <w:b w:val="0"/>
          <w:i w:val="0"/>
          <w:sz w:val="18"/>
        </w:rPr>
        <w:t>DualPriorSeg has several limitations. First, the seam prior is itself an estimated structure and can be wrong; the method therefore depends on conservative residual adaptation and preservation. Second, true overlap supervision is available on RAM-W600 but not on TSRS, so cross-dataset overlap transfer is weak evidence rather than a directly validated anatomical label. Third, a backbone-agnostic interface does not imply identical optimal hyperparameters across backbones, and the final study must distinguish portability from per-model retuning. Fourth, the current evaluation is limited to hand and wrist radiographs; generalization to other projection anatomies remains untested. Finally, the proposed gradient routing alleviates optimization conflict but cannot mathematically guarantee non-degradation on unseen data.</w:t>
      </w:r>
    </w:p>
    <w:p>
      <w:pPr>
        <w:keepNext/>
        <w:spacing w:before="100" w:after="30"/>
        <w:jc w:val="center"/>
      </w:pPr>
      <w:r>
        <w:rPr>
          <w:rFonts w:ascii="Times New Roman" w:hAnsi="Times New Roman" w:eastAsia="Times New Roman"/>
          <w:b/>
          <w:i w:val="0"/>
          <w:sz w:val="22"/>
        </w:rPr>
        <w:t>Conclusion</w:t>
      </w:r>
    </w:p>
    <w:p>
      <w:pPr>
        <w:pStyle w:val="BodyText"/>
        <w:keepLines w:val="0"/>
        <w:spacing w:after="0" w:before="0" w:line="240" w:lineRule="auto"/>
        <w:ind w:firstLine="230"/>
        <w:jc w:val="both"/>
      </w:pPr>
      <w:r>
        <w:rPr>
          <w:rFonts w:ascii="Times New Roman" w:hAnsi="Times New Roman" w:eastAsia="Times New Roman"/>
          <w:b w:val="0"/>
          <w:i w:val="0"/>
          <w:sz w:val="18"/>
        </w:rPr>
        <w:t xml:space="preserve">We presented DualPriorSeg, a dual structural-prior framework for fine-grained hand and wrist bone segmentation. The method separates two complementary radiographic failure modes: an input-side seam prior discourages false bridges, and an output-side overlap prior completes ambiguous or superimposed bone membership. The priors interact with the segmentation model only through image and logit interfaces, enabling the same framework to wrap multiple generic backbones. Supervision availability prevents binary-union annotations from being misinterpreted as true overlap labels, while preservation and primary-gradient-anchored routing reduce destructive auxiliary updates. On TSRS and RAM-W600, final experiments show </w:t>
      </w:r>
      <w:r>
        <w:rPr>
          <w:rFonts w:ascii="Times New Roman" w:hAnsi="Times New Roman" w:eastAsia="Times New Roman"/>
          <w:b/>
          <w:i w:val="0"/>
          <w:color w:val="C00000"/>
          <w:sz w:val="18"/>
        </w:rPr>
        <w:t>[TBD: concise final quantitative conclusion]</w:t>
      </w:r>
      <w:r>
        <w:rPr>
          <w:rFonts w:ascii="Times New Roman" w:hAnsi="Times New Roman" w:eastAsia="Times New Roman"/>
          <w:b w:val="0"/>
          <w:i w:val="0"/>
          <w:sz w:val="18"/>
        </w:rPr>
        <w:t xml:space="preserve">. Cross-backbone results demonstrate </w:t>
      </w:r>
      <w:r>
        <w:rPr>
          <w:rFonts w:ascii="Times New Roman" w:hAnsi="Times New Roman" w:eastAsia="Times New Roman"/>
          <w:b/>
          <w:i w:val="0"/>
          <w:color w:val="C00000"/>
          <w:sz w:val="18"/>
        </w:rPr>
        <w:t>[TBD: portability conclusion]</w:t>
      </w:r>
      <w:r>
        <w:rPr>
          <w:rFonts w:ascii="Times New Roman" w:hAnsi="Times New Roman" w:eastAsia="Times New Roman"/>
          <w:b w:val="0"/>
          <w:i w:val="0"/>
          <w:sz w:val="18"/>
        </w:rPr>
        <w:t xml:space="preserve">, and the RAM-W600 official benchmark comparison indicates </w:t>
      </w:r>
      <w:r>
        <w:rPr>
          <w:rFonts w:ascii="Times New Roman" w:hAnsi="Times New Roman" w:eastAsia="Times New Roman"/>
          <w:b/>
          <w:i w:val="0"/>
          <w:color w:val="C00000"/>
          <w:sz w:val="18"/>
        </w:rPr>
        <w:t>[TBD: competitiveness statement]</w:t>
      </w:r>
      <w:r>
        <w:rPr>
          <w:rFonts w:ascii="Times New Roman" w:hAnsi="Times New Roman" w:eastAsia="Times New Roman"/>
          <w:b w:val="0"/>
          <w:i w:val="0"/>
          <w:sz w:val="18"/>
        </w:rPr>
        <w:t>. These findings suggest that explicit structural priors can complement increasingly powerful segmentation backbones when local anatomical separation and projection overlap remain difficult to learn from the base objective alone.</w:t>
      </w:r>
    </w:p>
    <w:p>
      <w:pPr>
        <w:keepNext/>
        <w:spacing w:before="100" w:after="30"/>
        <w:jc w:val="center"/>
      </w:pPr>
      <w:r>
        <w:rPr>
          <w:rFonts w:ascii="Times New Roman" w:hAnsi="Times New Roman" w:eastAsia="Times New Roman"/>
          <w:b/>
          <w:i w:val="0"/>
          <w:sz w:val="22"/>
        </w:rPr>
        <w:t>References</w:t>
      </w:r>
    </w:p>
    <w:p>
      <w:pPr>
        <w:pStyle w:val="BodyText"/>
        <w:spacing w:after="10"/>
        <w:ind w:left="187" w:hanging="187"/>
        <w:jc w:val="both"/>
      </w:pPr>
      <w:r>
        <w:rPr>
          <w:rFonts w:ascii="Times New Roman" w:hAnsi="Times New Roman" w:eastAsia="Times New Roman"/>
          <w:b w:val="0"/>
          <w:i w:val="0"/>
          <w:sz w:val="16"/>
        </w:rPr>
        <w:t>Cheng, B.; Girshick, R.; Dollár, P.; Berg, A. C.; and Kirillov, A. 2021. Boundary IoU: Improving Object-Centric Image Segmentation Evaluation. In IEEE/CVF Conference on Computer Vision and Pattern Recognition (CVPR).</w:t>
      </w:r>
    </w:p>
    <w:p>
      <w:pPr>
        <w:pStyle w:val="BodyText"/>
        <w:spacing w:after="10"/>
        <w:ind w:left="187" w:hanging="187"/>
        <w:jc w:val="both"/>
      </w:pPr>
      <w:r>
        <w:rPr>
          <w:rFonts w:ascii="Times New Roman" w:hAnsi="Times New Roman" w:eastAsia="Times New Roman"/>
          <w:b w:val="0"/>
          <w:i w:val="0"/>
          <w:sz w:val="16"/>
        </w:rPr>
        <w:t>Chen, J.; Lu, Y.; Yu, Q.; Luo, X.; Adeli, E.; Wang, Y.; Lu, L.; Yuille, A. L.; and Zhou, Y. 2021. TransUNet: Transformers Make Strong Encoders for Medical Image Segmentation. arXiv:2102.04306.</w:t>
      </w:r>
    </w:p>
    <w:p>
      <w:pPr>
        <w:pStyle w:val="BodyText"/>
        <w:spacing w:after="10"/>
        <w:ind w:left="187" w:hanging="187"/>
        <w:jc w:val="both"/>
      </w:pPr>
      <w:r>
        <w:rPr>
          <w:rFonts w:ascii="Times New Roman" w:hAnsi="Times New Roman" w:eastAsia="Times New Roman"/>
          <w:b w:val="0"/>
          <w:i w:val="0"/>
          <w:sz w:val="16"/>
        </w:rPr>
        <w:t>Dice, L. R. 1945. Measures of the amount of ecologic association between species. Ecology, 26(3): 297–302.</w:t>
      </w:r>
    </w:p>
    <w:p>
      <w:pPr>
        <w:pStyle w:val="BodyText"/>
        <w:spacing w:after="10"/>
        <w:ind w:left="187" w:hanging="187"/>
        <w:jc w:val="both"/>
      </w:pPr>
      <w:r>
        <w:rPr>
          <w:rFonts w:ascii="Times New Roman" w:hAnsi="Times New Roman" w:eastAsia="Times New Roman"/>
          <w:b w:val="0"/>
          <w:i w:val="0"/>
          <w:sz w:val="16"/>
        </w:rPr>
        <w:t>Isensee, F.; Jaeger, P. F.; Kohl, S. A. A.; Petersen, J.; and Maier-Hein, K. H. 2021. nnU-Net: a self-configuring method for deep learning-based biomedical image segmentation. Nature Methods, 18: 203–211.</w:t>
      </w:r>
    </w:p>
    <w:p>
      <w:pPr>
        <w:pStyle w:val="BodyText"/>
        <w:spacing w:after="10"/>
        <w:ind w:left="187" w:hanging="187"/>
        <w:jc w:val="both"/>
      </w:pPr>
      <w:r>
        <w:rPr>
          <w:rFonts w:ascii="Times New Roman" w:hAnsi="Times New Roman" w:eastAsia="Times New Roman"/>
          <w:b w:val="0"/>
          <w:i w:val="0"/>
          <w:sz w:val="16"/>
        </w:rPr>
        <w:t>Kirillov, A.; Mintun, E.; Ravi, N.; Mao, H.; Rolland, C.; Gustafson, L.; Xiao, T.; Whitehead, S.; Berg, A. C.; Lo, W.-Y.; Dollár, P.; and Girshick, R. 2023. Segment Anything. In IEEE/CVF International Conference on Computer Vision (ICCV).</w:t>
      </w:r>
    </w:p>
    <w:p>
      <w:pPr>
        <w:pStyle w:val="BodyText"/>
        <w:spacing w:after="10"/>
        <w:ind w:left="187" w:hanging="187"/>
        <w:jc w:val="both"/>
      </w:pPr>
      <w:r>
        <w:rPr>
          <w:rFonts w:ascii="Times New Roman" w:hAnsi="Times New Roman" w:eastAsia="Times New Roman"/>
          <w:b w:val="0"/>
          <w:i w:val="0"/>
          <w:sz w:val="16"/>
        </w:rPr>
        <w:t>Liu, J.; Yang, H.; Zhou, H.-Y.; Xi, Y.; Yu, L.; Yu, Y.; Liang, Y.; Shi, G.; Zhang, S.; Zheng, H.; and Wang, S. 2024. Swin-UMamba: Mamba-based UNet with ImageNet-based pretraining. arXiv:2402.03302.</w:t>
      </w:r>
    </w:p>
    <w:p>
      <w:pPr>
        <w:pStyle w:val="BodyText"/>
        <w:spacing w:after="10"/>
        <w:ind w:left="187" w:hanging="187"/>
        <w:jc w:val="both"/>
      </w:pPr>
      <w:r>
        <w:rPr>
          <w:rFonts w:ascii="Times New Roman" w:hAnsi="Times New Roman" w:eastAsia="Times New Roman"/>
          <w:b w:val="0"/>
          <w:i w:val="0"/>
          <w:sz w:val="16"/>
        </w:rPr>
        <w:t>Ma, J.; He, Y.; Li, F.; Han, L.; You, C.; and Wang, B. 2024. Segment anything in medical images. Nature Communications, 15: 654.</w:t>
      </w:r>
    </w:p>
    <w:p>
      <w:pPr>
        <w:pStyle w:val="BodyText"/>
        <w:spacing w:after="10"/>
        <w:ind w:left="187" w:hanging="187"/>
        <w:jc w:val="both"/>
      </w:pPr>
      <w:r>
        <w:rPr>
          <w:rFonts w:ascii="Times New Roman" w:hAnsi="Times New Roman" w:eastAsia="Times New Roman"/>
          <w:b w:val="0"/>
          <w:i w:val="0"/>
          <w:sz w:val="16"/>
        </w:rPr>
        <w:t>Maier-Hein, L.; Reinke, A.; Godau, P.; et al. 2024. Metrics reloaded: recommendations for image analysis validation. Nature Methods, 21: 195–212.</w:t>
      </w:r>
    </w:p>
    <w:p>
      <w:pPr>
        <w:pStyle w:val="BodyText"/>
        <w:spacing w:after="10"/>
        <w:ind w:left="187" w:hanging="187"/>
        <w:jc w:val="both"/>
      </w:pPr>
      <w:r>
        <w:rPr>
          <w:rFonts w:ascii="Times New Roman" w:hAnsi="Times New Roman" w:eastAsia="Times New Roman"/>
          <w:b w:val="0"/>
          <w:i w:val="0"/>
          <w:sz w:val="16"/>
        </w:rPr>
        <w:t>Nikolov, S.; Blackwell, S.; Zverovitch, A.; et al. 2018. Deep learning to achieve clinically applicable segmentation of head and neck anatomy for radiotherapy. arXiv:1809.04430.</w:t>
      </w:r>
    </w:p>
    <w:p>
      <w:pPr>
        <w:pStyle w:val="BodyText"/>
        <w:spacing w:after="10"/>
        <w:ind w:left="187" w:hanging="187"/>
        <w:jc w:val="both"/>
      </w:pPr>
      <w:r>
        <w:rPr>
          <w:rFonts w:ascii="Times New Roman" w:hAnsi="Times New Roman" w:eastAsia="Times New Roman"/>
          <w:b w:val="0"/>
          <w:i w:val="0"/>
          <w:sz w:val="16"/>
        </w:rPr>
        <w:t>Ronneberger, O.; Fischer, P.; and Brox, T. 2015. U-Net: Convolutional Networks for Biomedical Image Segmentation. In Medical Image Computing and Computer-Assisted Intervention (MICCAI), 234–241.</w:t>
      </w:r>
    </w:p>
    <w:p>
      <w:pPr>
        <w:pStyle w:val="BodyText"/>
        <w:spacing w:after="10"/>
        <w:ind w:left="187" w:hanging="187"/>
        <w:jc w:val="both"/>
      </w:pPr>
      <w:r>
        <w:rPr>
          <w:rFonts w:ascii="Times New Roman" w:hAnsi="Times New Roman" w:eastAsia="Times New Roman"/>
          <w:b w:val="0"/>
          <w:i w:val="0"/>
          <w:sz w:val="16"/>
        </w:rPr>
        <w:t>Yang, S.; Wang, H.; Fu, Y.; Tian, Y.; Kamishima, T.; Ikebe, M.; Ou, Y.; and Okutomi, M. 2026. RAM-W600: A Multi-Task Wrist Dataset and Benchmark for Rheumatoid Arthritis. Advances in Neural Information Processing Systems, 38 (Datasets and Benchmarks Track).</w:t>
      </w:r>
    </w:p>
    <w:p>
      <w:pPr>
        <w:pStyle w:val="BodyText"/>
        <w:spacing w:after="10"/>
        <w:ind w:left="187" w:hanging="187"/>
        <w:jc w:val="both"/>
      </w:pPr>
      <w:r>
        <w:rPr>
          <w:rFonts w:ascii="Times New Roman" w:hAnsi="Times New Roman" w:eastAsia="Times New Roman"/>
          <w:b w:val="0"/>
          <w:i w:val="0"/>
          <w:sz w:val="16"/>
        </w:rPr>
        <w:t>Yu, T.; Kumar, S.; Gupta, A.; Levine, S.; Hausman, K.; and Finn, C. 2020. Gradient Surgery for Multi-Task Learning. Advances in Neural Information Processing Systems, 33.</w:t>
      </w:r>
    </w:p>
    <w:p>
      <w:pPr>
        <w:pStyle w:val="BodyText"/>
        <w:spacing w:after="10"/>
        <w:ind w:left="187" w:hanging="187"/>
        <w:jc w:val="both"/>
      </w:pPr>
      <w:r>
        <w:rPr>
          <w:rFonts w:ascii="Times New Roman" w:hAnsi="Times New Roman" w:eastAsia="Times New Roman"/>
          <w:b w:val="0"/>
          <w:i w:val="0"/>
          <w:sz w:val="16"/>
        </w:rPr>
        <w:t>[TBD] Formal TSRS dataset reference and annotation protocol citation.</w:t>
      </w:r>
    </w:p>
    <w:p>
      <w:pPr>
        <w:pStyle w:val="BodyText"/>
        <w:spacing w:after="10"/>
        <w:ind w:left="187" w:hanging="187"/>
        <w:jc w:val="both"/>
      </w:pPr>
      <w:r>
        <w:rPr>
          <w:rFonts w:ascii="Times New Roman" w:hAnsi="Times New Roman" w:eastAsia="Times New Roman"/>
          <w:b w:val="0"/>
          <w:i w:val="0"/>
          <w:sz w:val="16"/>
        </w:rPr>
        <w:t>[TBD] Any additional hand/wrist segmentation papers used in the final related-work comparison.</w:t>
      </w:r>
    </w:p>
    <w:p>
      <w:pPr>
        <w:sectPr>
          <w:type w:val="continuous"/>
          <w:pgSz w:w="12240" w:h="15840"/>
          <w:pgMar w:top="922" w:right="965" w:bottom="893" w:left="965" w:header="360" w:footer="360" w:gutter="0"/>
          <w:cols w:space="280" w:num="2"/>
          <w:docGrid w:linePitch="360"/>
        </w:sectPr>
      </w:pPr>
    </w:p>
    <w:sectPr w:rsidR="00FC693F" w:rsidRPr="0006063C" w:rsidSect="00034616">
      <w:type w:val="continuous"/>
      <w:pgSz w:w="12240" w:h="15840"/>
      <w:pgMar w:top="922" w:right="965" w:bottom="893" w:left="965" w:header="360" w:footer="360" w:gutter="0"/>
      <w:cols w:space="28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
    <w:name w:val="BodyText"/>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DualPriorSeg: Backbone-Agnostic Seam and Overlap Priors for Fine-Grained Hand and Wrist Bone Segmentation</dc:title>
  <dc:subject>Draft research paper with placeholders for final experiments</dc:subject>
  <dc:creator>Anonymous</dc:creator>
  <cp:keywords/>
  <dc:description>Draft generated from the current DualPriorSeg/R351 project state. Replace all [TBD] fields before submission.</dc:description>
  <cp:lastModifiedBy/>
  <cp:revision>1</cp:revision>
  <dcterms:created xsi:type="dcterms:W3CDTF">2013-12-23T23:15:00Z</dcterms:created>
  <dcterms:modified xsi:type="dcterms:W3CDTF">2013-12-23T23:15:00Z</dcterms:modified>
  <cp:category/>
</cp:coreProperties>
</file>