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after="300"/>
        <w:jc w:val="center"/>
      </w:pPr>
      <w:r>
        <w:rPr>
          <w:rFonts w:ascii="Times New Roman" w:hAnsi="Times New Roman" w:eastAsia="Noto Sans CJK SC" w:cs="Times New Roman"/>
          <w:b/>
          <w:i w:val="0"/>
          <w:sz w:val="36"/>
        </w:rPr>
        <w:t>DualPriorSeg：面向精细手部与腕部骨骼分割的</w:t>
        <w:br/>
        <w:t>骨干无关骨缝-重叠双结构先验框架</w:t>
      </w:r>
    </w:p>
    <w:p>
      <w:pPr>
        <w:spacing w:after="680"/>
        <w:jc w:val="center"/>
      </w:pPr>
      <w:r>
        <w:rPr>
          <w:rFonts w:ascii="Times New Roman" w:hAnsi="Times New Roman" w:eastAsia="Noto Sans CJK SC" w:cs="Times New Roman"/>
          <w:b/>
          <w:i w:val="0"/>
          <w:sz w:val="24"/>
        </w:rPr>
        <w:t>匿名投稿</w:t>
      </w:r>
    </w:p>
    <w:p>
      <w:pPr>
        <w:sectPr>
          <w:footerReference w:type="default" r:id="rId9"/>
          <w:pgSz w:w="12240" w:h="15840"/>
          <w:pgMar w:top="922" w:right="965" w:bottom="893" w:left="965" w:header="360" w:footer="360" w:gutter="0"/>
          <w:cols w:space="280" w:num="1"/>
          <w:docGrid w:linePitch="360"/>
        </w:sectPr>
      </w:pPr>
    </w:p>
    <w:p>
      <w:pPr>
        <w:keepNext/>
        <w:spacing w:before="100" w:after="30"/>
        <w:jc w:val="center"/>
      </w:pPr>
      <w:r>
        <w:rPr>
          <w:rFonts w:ascii="Times New Roman" w:hAnsi="Times New Roman" w:eastAsia="Noto Sans CJK SC" w:cs="Times New Roman"/>
          <w:b/>
          <w:i w:val="0"/>
          <w:sz w:val="22"/>
        </w:rPr>
        <w:t>摘要</w:t>
      </w:r>
    </w:p>
    <w:p>
      <w:pPr>
        <w:pStyle w:val="BodyText"/>
        <w:keepLines w:val="0"/>
        <w:spacing w:after="0" w:before="0" w:line="240" w:lineRule="auto"/>
        <w:ind w:firstLine="0"/>
        <w:jc w:val="both"/>
      </w:pPr>
      <w:r>
        <w:rPr>
          <w:rFonts w:ascii="Times New Roman" w:hAnsi="Times New Roman" w:eastAsia="Noto Serif CJK SC" w:cs="Times New Roman"/>
          <w:b w:val="0"/>
          <w:i w:val="0"/>
          <w:sz w:val="18"/>
        </w:rPr>
        <w:t>手部与腕部X线片的精细骨骼分割主要受两类互补的结构性失效影响：狭窄骨间隙可能被模型错误桥接，而投影重叠又可能遮蔽边界并造成骨骼归属缺失或截断。现有分割网络通常依赖骨干网络自身的表征能力隐式处理这两类错误，因而难以在不针对特定数据集重新设计网络的前提下，同时保持精细分离并恢复重叠区域。本文提出 DualPriorSeg，一种与骨干网络无关的双结构先验框架，将上述两类问题显式解耦。输入端的骨缝先验通过零初始化的残差适配器作用于图像，在预测骨缝附近抑制错误连接；图像条件化的重叠先验则引导输出端补全细化器，恢复结构上合理的前景或实例归属。两个先验仅通过标准图像与 logit 接口工作，无需访问骨干网络内部特征图。监督可用性掩膜避免将二值前景并集标注误当作真实重叠标签，主梯度锚定式路由则限制结构辅助目标与基础分割损失之间的梯度冲突。我们在儿童手部X线数据集 TSRS 与 RAM-W600 腕部基准上评估该框架，并在 nnU-Net、TransUNet 与 Swin-UMamba 上验证其可迁移性。DualPriorSeg 在 TSRS 上取得</w:t>
      </w:r>
      <w:r>
        <w:rPr>
          <w:rFonts w:ascii="Times New Roman" w:hAnsi="Times New Roman" w:eastAsia="Noto Serif CJK SC" w:cs="Times New Roman"/>
          <w:b/>
          <w:i w:val="0"/>
          <w:color w:val="C00000"/>
          <w:sz w:val="18"/>
        </w:rPr>
        <w:t>[待补充：最终 TSRS 结果概述]</w:t>
      </w:r>
      <w:r>
        <w:rPr>
          <w:rFonts w:ascii="Times New Roman" w:hAnsi="Times New Roman" w:eastAsia="Noto Serif CJK SC" w:cs="Times New Roman"/>
          <w:b w:val="0"/>
          <w:i w:val="0"/>
          <w:sz w:val="18"/>
        </w:rPr>
        <w:t>，在 RAM-W600 上取得</w:t>
      </w:r>
      <w:r>
        <w:rPr>
          <w:rFonts w:ascii="Times New Roman" w:hAnsi="Times New Roman" w:eastAsia="Noto Serif CJK SC" w:cs="Times New Roman"/>
          <w:b/>
          <w:i w:val="0"/>
          <w:color w:val="C00000"/>
          <w:sz w:val="18"/>
        </w:rPr>
        <w:t>[待补充：最终 RAM 结果概述]</w:t>
      </w:r>
      <w:r>
        <w:rPr>
          <w:rFonts w:ascii="Times New Roman" w:hAnsi="Times New Roman" w:eastAsia="Noto Serif CJK SC" w:cs="Times New Roman"/>
          <w:b w:val="0"/>
          <w:i w:val="0"/>
          <w:sz w:val="18"/>
        </w:rPr>
        <w:t>，同时保持具有竞争力的全局重叠精度。结果表明，结构先验可以作为一种可复用接口，在不绑定单一骨干网络的情况下改善精细骨骼分割。</w:t>
      </w:r>
    </w:p>
    <w:p>
      <w:pPr>
        <w:keepNext/>
        <w:spacing w:before="100" w:after="30"/>
        <w:jc w:val="center"/>
      </w:pPr>
      <w:r>
        <w:rPr>
          <w:rFonts w:ascii="Times New Roman" w:hAnsi="Times New Roman" w:eastAsia="Noto Sans CJK SC" w:cs="Times New Roman"/>
          <w:b/>
          <w:i w:val="0"/>
          <w:sz w:val="22"/>
        </w:rPr>
        <w:t>引言</w:t>
      </w:r>
    </w:p>
    <w:p>
      <w:pPr>
        <w:pStyle w:val="BodyText"/>
        <w:keepLines w:val="0"/>
        <w:spacing w:after="0" w:before="0" w:line="240" w:lineRule="auto"/>
        <w:ind w:firstLine="230"/>
        <w:jc w:val="both"/>
      </w:pPr>
      <w:r>
        <w:rPr>
          <w:rFonts w:ascii="Times New Roman" w:hAnsi="Times New Roman" w:eastAsia="Noto Serif CJK SC" w:cs="Times New Roman"/>
          <w:b w:val="0"/>
          <w:i w:val="0"/>
          <w:sz w:val="18"/>
        </w:rPr>
        <w:t>手部与腕部X线片包含大量尺度较小、排列密集的骨结构，其投影外观会随解剖差异、年龄、摆位及疾病状态而变化。对这些结构进行准确分割，对于骨骼发育评估、关节间隙形态分析、骨侵蚀、畸形、骨折及其他肌骨系统疾病的定量评估具有重要意义。然而，即便采用强大的医学图像分割系统，该任务仍然具有较高难度，因为真正影响解剖结构质量的错误往往发生在局部：仅数个像素的误差就可能封闭相邻骨骼之间的狭窄间隙，而相互重叠的结构又可能因可见边界证据不足而被欠分割。即使全局 Dice 仅发生很小变化，这类局部错误仍可能具有明确的临床与解剖意义。</w:t>
      </w:r>
    </w:p>
    <w:p>
      <w:pPr>
        <w:pStyle w:val="BodyText"/>
        <w:keepLines w:val="0"/>
        <w:spacing w:after="0" w:before="0" w:line="240" w:lineRule="auto"/>
        <w:ind w:firstLine="230"/>
        <w:jc w:val="both"/>
      </w:pPr>
      <w:r>
        <w:rPr>
          <w:rFonts w:ascii="Times New Roman" w:hAnsi="Times New Roman" w:eastAsia="Noto Serif CJK SC" w:cs="Times New Roman"/>
          <w:b w:val="0"/>
          <w:i w:val="0"/>
          <w:sz w:val="18"/>
        </w:rPr>
        <w:t>U-Net 系列、nnU-Net、Transformer 混合架构以及状态空间模型等现代分割骨干网络能够提供强大的通用表征能力（Ronneberger, Fischer, and Brox 2015; Isensee et al. 2021; Chen et al. 2021; Liu et al. 2024）。然而，这些模型本身并未显式区分两种方向相反的结构修正需求：分离错误要求在本应保持分离的相邻骨骼之间抑制前景，而重叠错误则要求在投影歧义导致骨结构部分不可见时恢复相应成员归属。若对这两类情况采用相同的局部修正机制，就可能在减少一种失效模式的同时加剧另一种失效模式。</w:t>
      </w:r>
    </w:p>
    <w:p>
      <w:pPr>
        <w:pStyle w:val="BodyText"/>
        <w:keepLines w:val="0"/>
        <w:spacing w:after="0" w:before="0" w:line="240" w:lineRule="auto"/>
        <w:ind w:firstLine="230"/>
        <w:jc w:val="both"/>
      </w:pPr>
      <w:r>
        <w:rPr>
          <w:rFonts w:ascii="Times New Roman" w:hAnsi="Times New Roman" w:eastAsia="Noto Serif CJK SC" w:cs="Times New Roman"/>
          <w:b w:val="0"/>
          <w:i w:val="0"/>
          <w:sz w:val="18"/>
        </w:rPr>
        <w:t>本文使用的两个数据集恰好体现了这种互补性。TSRS 包含不同发育阶段的儿童手部X线片，骨化中心的数量和外观随发育而变化，狭窄骨间隙是反复出现的分割难点。RAM-W600 则是一个公开的腕部X线基准，提供 14 个骨结构的像素级标注，且腕骨区域存在较频繁的解剖投影重叠（Yang et al. 2026）。前者适合引入显式分离线索，后者则能够提供真实的多标签监督以学习重叠感知的补全能力。一个统一框架应能够利用两类信息，同时避免错误假设所有数据集都具有相同的标注语义。</w:t>
      </w:r>
    </w:p>
    <w:p>
      <w:pPr>
        <w:pStyle w:val="BodyText"/>
        <w:keepLines w:val="0"/>
        <w:spacing w:after="0" w:before="0" w:line="240" w:lineRule="auto"/>
        <w:ind w:firstLine="230"/>
        <w:jc w:val="both"/>
      </w:pPr>
      <w:r>
        <w:rPr>
          <w:rFonts w:ascii="Times New Roman" w:hAnsi="Times New Roman" w:eastAsia="Noto Serif CJK SC" w:cs="Times New Roman"/>
          <w:b w:val="0"/>
          <w:i w:val="0"/>
          <w:sz w:val="18"/>
        </w:rPr>
        <w:t>为此，本文提出 DualPriorSeg，在通用分割骨干网络的前后分别引入双结构先验接口。输入端的骨缝先验被转换为幅度受限的图像残差，并在分离证据较强且重叠证据较弱的位置发挥更大作用。输出端补全先验则利用原始图像、当前成员概率、其他成员上下文、局部不确定性、图像梯度以及骨缝与重叠证据之间的交互，对骨干网络的 logits 进行细化。两个先验均不依赖骨干网络内部特征图。因此，只需替换轻量的输入/输出适配层，同一套先验模块即可复用于卷积网络、Transformer 或 Mamba 风格的分割架构。</w:t>
      </w:r>
    </w:p>
    <w:p>
      <w:pPr>
        <w:pStyle w:val="BodyText"/>
        <w:keepLines w:val="0"/>
        <w:spacing w:after="0" w:before="0" w:line="240" w:lineRule="auto"/>
        <w:ind w:firstLine="230"/>
        <w:jc w:val="both"/>
      </w:pPr>
      <w:r>
        <w:rPr>
          <w:rFonts w:ascii="Times New Roman" w:hAnsi="Times New Roman" w:eastAsia="Noto Serif CJK SC" w:cs="Times New Roman"/>
          <w:b w:val="0"/>
          <w:i w:val="0"/>
          <w:sz w:val="18"/>
        </w:rPr>
        <w:t>第二个设计目标是保证监督语义正确。RAM-W600 提供相互独立的骨骼掩膜，因此同一像素属于多个骨结构时，可以得到可观测的真实重叠目标。TSRS 的主任务则是前景并集分割；并集掩膜无法判断某个前景像素是否同时属于多个解剖实例。因此，我们将 TSRS 上的重叠成员归属视为“未知”，而不是负样本。重叠先验仍可作为图像条件化的弱迁移线索参与前向过程，但当多重归属不可观测时，重叠损失会被屏蔽。同时，我们引入保真项和参数空间梯度路由，避免辅助结构目标压过基础分割目标。</w:t>
      </w:r>
    </w:p>
    <w:p>
      <w:pPr>
        <w:pStyle w:val="BodyText"/>
        <w:keepLines w:val="0"/>
        <w:spacing w:after="0" w:before="0" w:line="240" w:lineRule="auto"/>
        <w:ind w:firstLine="230"/>
        <w:jc w:val="both"/>
      </w:pPr>
      <w:r>
        <w:rPr>
          <w:rFonts w:ascii="Times New Roman" w:hAnsi="Times New Roman" w:eastAsia="Noto Serif CJK SC" w:cs="Times New Roman"/>
          <w:b w:val="0"/>
          <w:i w:val="0"/>
          <w:sz w:val="18"/>
        </w:rPr>
        <w:t>因此，DualPriorSeg 并不是一个新的骨干网络。它的目的在于检验：能否以受控、可复用的方式，将结构信息附加到多种强分割系统之上。参照近期医学图像分析研究的评价思路，我们同时报告重叠类指标和边界/表面类指标，而不是依赖单一标量评价（Cheng et al. 2021; Nikolov et al. 2018; Maier-Hein et al. 2024）。最终实验采用匹配训练对照，以排除“仅仅因为额外微调时间更长”所带来的增益。</w:t>
      </w:r>
    </w:p>
    <w:p>
      <w:pPr>
        <w:pStyle w:val="BodyText"/>
        <w:keepLines w:val="0"/>
        <w:spacing w:after="0" w:before="0" w:line="240" w:lineRule="auto"/>
        <w:ind w:firstLine="0"/>
        <w:jc w:val="both"/>
      </w:pPr>
      <w:r>
        <w:rPr>
          <w:rFonts w:ascii="Times New Roman" w:hAnsi="Times New Roman" w:eastAsia="Noto Serif CJK SC" w:cs="Times New Roman"/>
          <w:b w:val="0"/>
          <w:i w:val="0"/>
          <w:sz w:val="18"/>
        </w:rPr>
        <w:t>本文的主要贡献如下：</w:t>
      </w:r>
    </w:p>
    <w:p>
      <w:pPr>
        <w:pStyle w:val="BodyText"/>
        <w:spacing w:after="10"/>
        <w:ind w:left="202" w:hanging="144"/>
        <w:jc w:val="both"/>
      </w:pPr>
      <w:r>
        <w:rPr>
          <w:rFonts w:ascii="Times New Roman" w:hAnsi="Times New Roman" w:eastAsia="Noto Serif CJK SC" w:cs="Times New Roman"/>
          <w:b/>
          <w:i w:val="0"/>
          <w:sz w:val="18"/>
        </w:rPr>
        <w:t>• 我们将精细手部与腕部骨骼分割归纳为两个互补的结构修正问题，并提出双先验接口：输入端骨缝适配器用于抑制错误桥接，输出端重叠补全细化器用于恢复缺失的结构归属。</w:t>
      </w:r>
    </w:p>
    <w:p>
      <w:pPr>
        <w:pStyle w:val="BodyText"/>
        <w:spacing w:after="10"/>
        <w:ind w:left="202" w:hanging="144"/>
        <w:jc w:val="both"/>
      </w:pPr>
      <w:r>
        <w:rPr>
          <w:rFonts w:ascii="Times New Roman" w:hAnsi="Times New Roman" w:eastAsia="Noto Serif CJK SC" w:cs="Times New Roman"/>
          <w:b/>
          <w:i w:val="0"/>
          <w:sz w:val="18"/>
        </w:rPr>
        <w:t>• 我们使该框架显式感知监督可用性：真实多重归属由 RAM-W600 学习，而 TSRS 上不可观测的重叠归属被明确视为未知；同时利用保真目标与主梯度锚定式路由保护基础分割行为。</w:t>
      </w:r>
    </w:p>
    <w:p>
      <w:pPr>
        <w:pStyle w:val="BodyText"/>
        <w:spacing w:after="10"/>
        <w:ind w:left="202" w:hanging="144"/>
        <w:jc w:val="both"/>
      </w:pPr>
      <w:r>
        <w:rPr>
          <w:rFonts w:ascii="Times New Roman" w:hAnsi="Times New Roman" w:eastAsia="Noto Serif CJK SC" w:cs="Times New Roman"/>
          <w:b/>
          <w:i w:val="0"/>
          <w:sz w:val="18"/>
        </w:rPr>
        <w:t>• 我们围绕标准图像/logit 接口而非骨干内部特征设计先验，并在两个X线数据集上，以 nnU-Net、TransUNet 和 Swin-UMamba 验证可迁移性，同时采用标准的重叠、边界和表面指标进行评价。最终定量增益见</w:t>
      </w:r>
      <w:r>
        <w:rPr>
          <w:rFonts w:ascii="Times New Roman" w:hAnsi="Times New Roman" w:eastAsia="Noto Serif CJK SC" w:cs="Times New Roman"/>
          <w:b/>
          <w:i w:val="0"/>
          <w:color w:val="C00000"/>
          <w:sz w:val="18"/>
        </w:rPr>
        <w:t>[待补充：表1-4]</w:t>
      </w:r>
      <w:r>
        <w:rPr>
          <w:rFonts w:ascii="Times New Roman" w:hAnsi="Times New Roman" w:eastAsia="Noto Serif CJK SC" w:cs="Times New Roman"/>
          <w:b/>
          <w:i w:val="0"/>
          <w:sz w:val="18"/>
        </w:rPr>
        <w:t>。</w:t>
      </w:r>
    </w:p>
    <w:p>
      <w:pPr>
        <w:keepNext/>
        <w:spacing w:before="100" w:after="30"/>
        <w:jc w:val="center"/>
      </w:pPr>
      <w:r>
        <w:rPr>
          <w:rFonts w:ascii="Times New Roman" w:hAnsi="Times New Roman" w:eastAsia="Noto Sans CJK SC" w:cs="Times New Roman"/>
          <w:b/>
          <w:i w:val="0"/>
          <w:sz w:val="22"/>
        </w:rPr>
        <w:t>相关工作</w:t>
      </w:r>
    </w:p>
    <w:p>
      <w:pPr>
        <w:keepNext/>
        <w:spacing w:before="60" w:after="30"/>
        <w:jc w:val="left"/>
      </w:pPr>
      <w:r>
        <w:rPr>
          <w:rFonts w:ascii="Times New Roman" w:hAnsi="Times New Roman" w:eastAsia="Noto Sans CJK SC" w:cs="Times New Roman"/>
          <w:b/>
          <w:i w:val="0"/>
          <w:sz w:val="19"/>
        </w:rPr>
        <w:t>医学图像分割骨干网络。</w:t>
      </w:r>
    </w:p>
    <w:p>
      <w:pPr>
        <w:pStyle w:val="BodyText"/>
        <w:keepLines w:val="0"/>
        <w:spacing w:after="0" w:before="0" w:line="240" w:lineRule="auto"/>
        <w:ind w:firstLine="230"/>
        <w:jc w:val="both"/>
      </w:pPr>
      <w:r>
        <w:rPr>
          <w:rFonts w:ascii="Times New Roman" w:hAnsi="Times New Roman" w:eastAsia="Noto Serif CJK SC" w:cs="Times New Roman"/>
          <w:b w:val="0"/>
          <w:i w:val="0"/>
          <w:sz w:val="18"/>
        </w:rPr>
        <w:t>U-Net 通过编码器-解码器结构与跳跃连接奠定了生物医学图像分割中的主流架构范式（Ronneberger, Fischer, and Brox 2015）。随后，nnU-Net 证明了通过系统化配置预处理、网络结构、训练与推理流程，可以在异质医学任务上形成强大的自配置基线（Isensee et al. 2021）。TransUNet 等 Transformer 混合模型将卷积的局部定位能力与长程自注意力结合（Chen et al. 2021），而较新的 Swin-UMamba 等状态空间架构则试图以较低计算成本获取全局上下文（Liu et al. 2024）。这些模型的内部表征差异明显，因此适合用于检验一个先验模块究竟具有真正的可迁移性，还是仅依赖某一种特定的特征层级。</w:t>
      </w:r>
    </w:p>
    <w:p>
      <w:pPr>
        <w:keepNext/>
        <w:spacing w:before="60" w:after="30"/>
        <w:jc w:val="left"/>
      </w:pPr>
      <w:r>
        <w:rPr>
          <w:rFonts w:ascii="Times New Roman" w:hAnsi="Times New Roman" w:eastAsia="Noto Sans CJK SC" w:cs="Times New Roman"/>
          <w:b/>
          <w:i w:val="0"/>
          <w:sz w:val="19"/>
        </w:rPr>
        <w:t>手部与腕部骨骼分割。</w:t>
      </w:r>
    </w:p>
    <w:p>
      <w:pPr>
        <w:pStyle w:val="BodyText"/>
        <w:keepLines w:val="0"/>
        <w:spacing w:after="0" w:before="0" w:line="240" w:lineRule="auto"/>
        <w:ind w:firstLine="230"/>
        <w:jc w:val="both"/>
      </w:pPr>
      <w:r>
        <w:rPr>
          <w:rFonts w:ascii="Times New Roman" w:hAnsi="Times New Roman" w:eastAsia="Noto Serif CJK SC" w:cs="Times New Roman"/>
          <w:b w:val="0"/>
          <w:i w:val="0"/>
          <w:sz w:val="18"/>
        </w:rPr>
        <w:t>腕部骨骼分割的困难在于腕骨区域包含大量尺度较小、间距紧密且经常相互重叠的结构。RAM-W600 为这一任务提供了近期的公开基准，共包含 1,048 张来自 388 名患者的腕部X线片，其中 618 张具有像素级实例标注；其分割任务包含 14 个骨掩膜，并同时报告重叠精度和边界敏感性能（Yang et al. 2026）。官方基准进一步表明，强监督医学分割架构在这一解剖区域仍具有重要价值。儿童手部X线则带来另一类困难：骨化中心会随年龄出现和变化，因此图像中可见结构的数量、尺度和间距并非固定。</w:t>
      </w:r>
      <w:r>
        <w:rPr>
          <w:rFonts w:ascii="Times New Roman" w:hAnsi="Times New Roman" w:eastAsia="Noto Serif CJK SC" w:cs="Times New Roman"/>
          <w:b/>
          <w:i w:val="0"/>
          <w:color w:val="C00000"/>
          <w:sz w:val="18"/>
        </w:rPr>
        <w:t>[待补充：正式 TSRS 数据集引用与最终数据集描述。]</w:t>
      </w:r>
    </w:p>
    <w:p>
      <w:pPr>
        <w:keepNext/>
        <w:spacing w:before="60" w:after="30"/>
        <w:jc w:val="left"/>
      </w:pPr>
      <w:r>
        <w:rPr>
          <w:rFonts w:ascii="Times New Roman" w:hAnsi="Times New Roman" w:eastAsia="Noto Sans CJK SC" w:cs="Times New Roman"/>
          <w:b/>
          <w:i w:val="0"/>
          <w:sz w:val="19"/>
        </w:rPr>
        <w:t>结构先验与边界感知方法。</w:t>
      </w:r>
    </w:p>
    <w:p>
      <w:pPr>
        <w:pStyle w:val="BodyText"/>
        <w:keepLines w:val="0"/>
        <w:spacing w:after="0" w:before="0" w:line="240" w:lineRule="auto"/>
        <w:ind w:firstLine="230"/>
        <w:jc w:val="both"/>
      </w:pPr>
      <w:r>
        <w:rPr>
          <w:rFonts w:ascii="Times New Roman" w:hAnsi="Times New Roman" w:eastAsia="Noto Serif CJK SC" w:cs="Times New Roman"/>
          <w:b w:val="0"/>
          <w:i w:val="0"/>
          <w:sz w:val="18"/>
        </w:rPr>
        <w:t>基于重叠的损失能够有效优化整体掩膜一致性，但往往对局部轮廓误差不够敏感。Boundary IoU 被提出用于增强评价对分割边界的敏感性（Cheng et al. 2021），Surface Dice 则在给定容差范围内衡量轮廓一致性（Nikolov et al. 2018）。此外，边界感知损失和拓扑相关目标也被用于编码几何偏好。与这些方法不同，我们并不替换标准分割目标，而是在通用骨干网络前后提供显式、空间局部化的结构先验：一个先验抑制错误桥接，另一个先验促进投影重叠条件下的结构补全。两个先验允许在局部产生不同甚至相反的偏好，因此优化过程中应优先保护主分割梯度，而不是对所有目标进行完全对称处理。</w:t>
      </w:r>
    </w:p>
    <w:p>
      <w:pPr>
        <w:keepNext/>
        <w:spacing w:before="60" w:after="30"/>
        <w:jc w:val="left"/>
      </w:pPr>
      <w:r>
        <w:rPr>
          <w:rFonts w:ascii="Times New Roman" w:hAnsi="Times New Roman" w:eastAsia="Noto Sans CJK SC" w:cs="Times New Roman"/>
          <w:b/>
          <w:i w:val="0"/>
          <w:sz w:val="19"/>
        </w:rPr>
        <w:t>多目标学习中的梯度冲突。</w:t>
      </w:r>
    </w:p>
    <w:p>
      <w:pPr>
        <w:pStyle w:val="BodyText"/>
        <w:keepLines w:val="0"/>
        <w:spacing w:after="0" w:before="0" w:line="240" w:lineRule="auto"/>
        <w:ind w:firstLine="230"/>
        <w:jc w:val="both"/>
      </w:pPr>
      <w:r>
        <w:rPr>
          <w:rFonts w:ascii="Times New Roman" w:hAnsi="Times New Roman" w:eastAsia="Noto Serif CJK SC" w:cs="Times New Roman"/>
          <w:b w:val="0"/>
          <w:i w:val="0"/>
          <w:sz w:val="18"/>
        </w:rPr>
        <w:t>辅助目标可以提升表征学习，但也可能与主任务目标发生冲突。梯度手术类方法通过投影冲突梯度以减少破坏性干扰（Yu et al. 2020）。DualPriorSeg 采用一种更适合成熟分割系统的非对称形式：以基础分割梯度为锚点，仅去除辅助梯度中与其相反的分量，并限制每个辅助梯度的范数。该路由机制只是局部优化层面的安全措施，并不能保证验证或测试性能一定不退化；最终是否接受仍需通过独立留出验证数据进行经验判断。</w:t>
      </w:r>
    </w:p>
    <w:p>
      <w:pPr>
        <w:sectPr>
          <w:type w:val="continuous"/>
          <w:pgSz w:w="12240" w:h="15840"/>
          <w:pgMar w:top="922" w:right="965" w:bottom="893" w:left="965" w:header="360" w:footer="360" w:gutter="0"/>
          <w:cols w:space="280" w:num="2"/>
          <w:docGrid w:linePitch="360"/>
        </w:sectPr>
      </w:pPr>
    </w:p>
    <w:tbl>
      <w:tblPr>
        <w:tblW w:type="auto" w:w="0"/>
        <w:jc w:val="center"/>
        <w:tblLayout w:type="fixed"/>
        <w:tblLook w:firstColumn="1" w:firstRow="1" w:lastColumn="0" w:lastRow="0" w:noHBand="0" w:noVBand="1" w:val="04A0"/>
      </w:tblPr>
      <w:tblGrid>
        <w:gridCol w:w="10310"/>
      </w:tblGrid>
      <w:tr>
        <w:trPr>
          <w:trHeight w:val="3240" w:hRule="atLeast"/>
        </w:trPr>
        <w:tc>
          <w:tcPr>
            <w:tcW w:type="dxa" w:w="10080"/>
            <w:vAlign w:val="center"/>
            <w:shd w:fill="F3F3F3"/>
            <w:tcMar>
              <w:top w:w="100" w:type="dxa"/>
              <w:start w:w="100" w:type="dxa"/>
              <w:bottom w:w="100" w:type="dxa"/>
              <w:end w:w="100" w:type="dxa"/>
            </w:tcMar>
          </w:tcPr>
          <w:p>
            <w:pPr>
              <w:jc w:val="center"/>
            </w:pPr>
            <w:r>
              <w:rPr>
                <w:rFonts w:ascii="Times New Roman" w:hAnsi="Times New Roman" w:eastAsia="Noto Serif CJK SC" w:cs="Times New Roman"/>
                <w:b/>
                <w:color w:val="C00000"/>
                <w:sz w:val="20"/>
              </w:rPr>
              <w:t>[待补充 图1]</w:t>
            </w:r>
            <w:r>
              <w:rPr>
                <w:rFonts w:ascii="Times New Roman" w:hAnsi="Times New Roman" w:eastAsia="Noto Serif CJK SC" w:cs="Times New Roman"/>
                <w:b/>
                <w:sz w:val="20"/>
              </w:rPr>
              <w:br/>
              <w:t>TSRS 骨缝失效 / RAM 重叠失效 / 修正后预测</w:t>
            </w:r>
          </w:p>
        </w:tc>
      </w:tr>
    </w:tbl>
    <w:p>
      <w:pPr>
        <w:spacing w:before="40" w:after="60"/>
        <w:jc w:val="both"/>
      </w:pPr>
      <w:r>
        <w:rPr>
          <w:rFonts w:ascii="Times New Roman" w:hAnsi="Times New Roman" w:eastAsia="Noto Serif CJK SC" w:cs="Times New Roman"/>
          <w:b w:val="0"/>
          <w:i w:val="0"/>
          <w:sz w:val="17"/>
        </w:rPr>
        <w:t>图1：手部与腕部骨骼分割中的代表性失效模式。最终图片应展示一个具有狭窄骨间隙的 TSRS 样例和一个存在投影重叠的 RAM-W600 样例，并同时给出骨干网络与 DualPriorSeg 的预测结果。案例选择不得基于测试集结果进行挑选。</w:t>
      </w:r>
    </w:p>
    <w:p>
      <w:pPr>
        <w:sectPr>
          <w:type w:val="continuous"/>
          <w:pgSz w:w="12240" w:h="15840"/>
          <w:pgMar w:top="922" w:right="965" w:bottom="893" w:left="965" w:header="360" w:footer="360" w:gutter="0"/>
          <w:cols w:space="280" w:num="1"/>
          <w:docGrid w:linePitch="360"/>
        </w:sectPr>
      </w:pPr>
    </w:p>
    <w:p>
      <w:pPr>
        <w:keepNext/>
        <w:spacing w:before="100" w:after="30"/>
        <w:jc w:val="center"/>
      </w:pPr>
      <w:r>
        <w:rPr>
          <w:rFonts w:ascii="Times New Roman" w:hAnsi="Times New Roman" w:eastAsia="Noto Sans CJK SC" w:cs="Times New Roman"/>
          <w:b/>
          <w:i w:val="0"/>
          <w:sz w:val="22"/>
        </w:rPr>
        <w:t>方法</w:t>
      </w:r>
    </w:p>
    <w:p>
      <w:pPr>
        <w:pStyle w:val="BodyText"/>
        <w:keepLines w:val="0"/>
        <w:spacing w:after="0" w:before="0" w:line="240" w:lineRule="auto"/>
        <w:ind w:firstLine="230"/>
        <w:jc w:val="both"/>
      </w:pPr>
      <w:r>
        <w:rPr>
          <w:rFonts w:ascii="Times New Roman" w:hAnsi="Times New Roman" w:eastAsia="Noto Serif CJK SC" w:cs="Times New Roman"/>
          <w:b w:val="0"/>
          <w:i w:val="0"/>
          <w:sz w:val="18"/>
        </w:rPr>
        <w:t>DualPriorSeg 在分割骨干网络前后分别放置两个互补的结构模块。骨缝分支位于骨干之前，目标是减少错误桥接；重叠分支位于骨干之后，目标是恢复缺失或存在歧义的成员归属。图2给出了整体数据流。推理过程中不使用任何真实标注掩膜。</w:t>
      </w:r>
    </w:p>
    <w:p>
      <w:pPr>
        <w:keepNext/>
        <w:spacing w:before="60" w:after="30"/>
        <w:jc w:val="left"/>
      </w:pPr>
      <w:r>
        <w:rPr>
          <w:rFonts w:ascii="Times New Roman" w:hAnsi="Times New Roman" w:eastAsia="Noto Sans CJK SC" w:cs="Times New Roman"/>
          <w:b/>
          <w:i w:val="0"/>
          <w:sz w:val="19"/>
        </w:rPr>
        <w:t>问题定义。</w:t>
      </w:r>
    </w:p>
    <w:p>
      <w:pPr>
        <w:pStyle w:val="BodyText"/>
        <w:keepLines w:val="0"/>
        <w:spacing w:after="0" w:before="0" w:line="240" w:lineRule="auto"/>
        <w:ind w:firstLine="230"/>
        <w:jc w:val="both"/>
      </w:pPr>
      <w:r>
        <w:rPr>
          <w:rFonts w:ascii="Times New Roman" w:hAnsi="Times New Roman" w:eastAsia="Noto Serif CJK SC" w:cs="Times New Roman"/>
          <w:b w:val="0"/>
          <w:i w:val="0"/>
          <w:sz w:val="18"/>
        </w:rPr>
        <w:t>设 x ∈ R^{1×H×W} 表示一幅X线图像，fθ 表示任意分割骨干网络。对于前景并集分割，骨干网络输出前景 logits z ∈ R^{1×H×W}；对于多标签腕部骨骼分割，z ∈ R^{C×H×W}，其中 C 表示骨骼成员数量。令 s ∈ [0,1]^{1×H×W} 为冻结且不依赖 GT 的骨缝先验，o ∈ [0,1]^{1×H×W} 为图像条件化的重叠概率。所提出模型在不访问 fθ 内部特征图的情况下，依次计算适配图像 x̃、骨干 logits z 以及细化后的 logits ẑ。</w:t>
      </w:r>
    </w:p>
    <w:p>
      <w:pPr>
        <w:keepNext/>
        <w:spacing w:before="60" w:after="30"/>
        <w:jc w:val="left"/>
      </w:pPr>
      <w:r>
        <w:rPr>
          <w:rFonts w:ascii="Times New Roman" w:hAnsi="Times New Roman" w:eastAsia="Noto Sans CJK SC" w:cs="Times New Roman"/>
          <w:b/>
          <w:i w:val="0"/>
          <w:sz w:val="19"/>
        </w:rPr>
        <w:t>骨缝先验与输入适配。</w:t>
      </w:r>
    </w:p>
    <w:p>
      <w:pPr>
        <w:pStyle w:val="BodyText"/>
        <w:keepLines w:val="0"/>
        <w:spacing w:after="0" w:before="0" w:line="240" w:lineRule="auto"/>
        <w:ind w:firstLine="230"/>
        <w:jc w:val="both"/>
      </w:pPr>
      <w:r>
        <w:rPr>
          <w:rFonts w:ascii="Times New Roman" w:hAnsi="Times New Roman" w:eastAsia="Noto Serif CJK SC" w:cs="Times New Roman"/>
          <w:b w:val="0"/>
          <w:i w:val="0"/>
          <w:sz w:val="18"/>
        </w:rPr>
        <w:t>骨缝先验用于表示“相邻前景结构应保持分离”的局部证据。该先验由图像推导得到的中心/几何候选和冻结关系模型独立生成，不依赖最终分割骨干。考虑到儿童解剖结构会随发育变化，该先验由图像条件化，而不是绑定到固定数量的骨骼。推理时无需真实标注即可获得该先验。</w:t>
      </w:r>
    </w:p>
    <w:p>
      <w:pPr>
        <w:pStyle w:val="BodyText"/>
        <w:keepLines w:val="0"/>
        <w:spacing w:after="0" w:before="0" w:line="240" w:lineRule="auto"/>
        <w:ind w:firstLine="230"/>
        <w:jc w:val="both"/>
      </w:pPr>
      <w:r>
        <w:rPr>
          <w:rFonts w:ascii="Times New Roman" w:hAnsi="Times New Roman" w:eastAsia="Noto Serif CJK SC" w:cs="Times New Roman"/>
          <w:b w:val="0"/>
          <w:i w:val="0"/>
          <w:sz w:val="18"/>
        </w:rPr>
        <w:t>一个小型残差适配器 gφ 同时接收原始图像、归一化骨缝先验与重叠概率。其最后一层卷积采用零初始化，使完整模型从恒等映射开始。适配后的图像为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032"/>
        <w:gridCol w:w="504"/>
      </w:tblGrid>
      <w:tr>
        <w:tc>
          <w:tcPr>
            <w:tcW w:type="dxa" w:w="5155"/>
            <w:vAlign w:val="center"/>
            <w:tcMar>
              <w:top w:w="0" w:type="dxa"/>
              <w:start w:w="0" w:type="dxa"/>
              <w:bottom w:w="0" w:type="dxa"/>
              <w:end w:w="0" w:type="dxa"/>
            </w:tcMar>
          </w:tcPr>
          <w:p>
            <w:pPr>
              <w:jc w:val="center"/>
            </w:pPr>
            <w:r>
              <w:rPr>
                <w:rFonts w:ascii="Times New Roman" w:hAnsi="Times New Roman" w:eastAsia="Noto Serif CJK SC" w:cs="Times New Roman"/>
                <w:b w:val="0"/>
                <w:i w:val="0"/>
                <w:sz w:val="19"/>
              </w:rPr>
              <w:t>x̃ = x + α tanh(gφ([x, s, o])) ⊙ s ⊙ (1 − o),</w:t>
            </w:r>
          </w:p>
        </w:tc>
        <w:tc>
          <w:tcPr>
            <w:tcW w:type="dxa" w:w="5155"/>
            <w:vAlign w:val="center"/>
            <w:tcMar>
              <w:top w:w="0" w:type="dxa"/>
              <w:start w:w="0" w:type="dxa"/>
              <w:bottom w:w="0" w:type="dxa"/>
              <w:end w:w="0" w:type="dxa"/>
            </w:tcMar>
          </w:tcPr>
          <w:p>
            <w:pPr>
              <w:jc w:val="right"/>
            </w:pPr>
            <w:r>
              <w:rPr>
                <w:rFonts w:ascii="Times New Roman" w:hAnsi="Times New Roman" w:eastAsia="Noto Serif CJK SC" w:cs="Times New Roman"/>
                <w:b w:val="0"/>
                <w:i w:val="0"/>
                <w:sz w:val="18"/>
              </w:rPr>
              <w:t>(1)</w:t>
            </w:r>
          </w:p>
        </w:tc>
      </w:tr>
    </w:tbl>
    <w:p>
      <w:pPr>
        <w:pStyle w:val="BodyText"/>
        <w:keepLines w:val="0"/>
        <w:spacing w:after="0" w:before="0" w:line="240" w:lineRule="auto"/>
        <w:ind w:firstLine="230"/>
        <w:jc w:val="both"/>
      </w:pPr>
      <w:r>
        <w:rPr>
          <w:rFonts w:ascii="Times New Roman" w:hAnsi="Times New Roman" w:eastAsia="Noto Serif CJK SC" w:cs="Times New Roman"/>
          <w:b w:val="0"/>
          <w:i w:val="0"/>
          <w:sz w:val="18"/>
        </w:rPr>
        <w:t>其中 α 用于限制最大图像扰动幅度（当前实现中为 0.10），[·] 表示通道拼接，⊙ 表示逐元素乘法。因子 s(1−o) 使分离修正在骨缝证据较强而重叠证据较弱的位置最为显著，从而降低误抑制真实投影重叠解剖结构的风险。</w:t>
      </w:r>
    </w:p>
    <w:p>
      <w:pPr>
        <w:keepNext/>
        <w:spacing w:before="60" w:after="30"/>
        <w:jc w:val="left"/>
      </w:pPr>
      <w:r>
        <w:rPr>
          <w:rFonts w:ascii="Times New Roman" w:hAnsi="Times New Roman" w:eastAsia="Noto Sans CJK SC" w:cs="Times New Roman"/>
          <w:b/>
          <w:i w:val="0"/>
          <w:sz w:val="19"/>
        </w:rPr>
        <w:t>图像条件化重叠先验。</w:t>
      </w:r>
    </w:p>
    <w:p>
      <w:pPr>
        <w:pStyle w:val="BodyText"/>
        <w:keepLines w:val="0"/>
        <w:spacing w:after="0" w:before="0" w:line="240" w:lineRule="auto"/>
        <w:ind w:firstLine="230"/>
        <w:jc w:val="both"/>
      </w:pPr>
      <w:r>
        <w:rPr>
          <w:rFonts w:ascii="Times New Roman" w:hAnsi="Times New Roman" w:eastAsia="Noto Serif CJK SC" w:cs="Times New Roman"/>
          <w:b w:val="0"/>
          <w:i w:val="0"/>
          <w:sz w:val="18"/>
        </w:rPr>
        <w:t>重叠先验 hω 根据X线图像和骨缝图预测稠密概率图。该模块采用轻量卷积网络，并在固定低分辨率表示上运行，因此不依赖下游分割骨干的特征分辨率。网络在 RAM-W600 上训练；该数据集提供独立成员掩膜，使真实投影重叠可以被直接观测。对于多标签目标 y = {y_c}_{c=1}^C，重叠目标定义为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032"/>
        <w:gridCol w:w="504"/>
      </w:tblGrid>
      <w:tr>
        <w:tc>
          <w:tcPr>
            <w:tcW w:type="dxa" w:w="5155"/>
            <w:vAlign w:val="center"/>
            <w:tcMar>
              <w:top w:w="0" w:type="dxa"/>
              <w:start w:w="0" w:type="dxa"/>
              <w:bottom w:w="0" w:type="dxa"/>
              <w:end w:w="0" w:type="dxa"/>
            </w:tcMar>
          </w:tcPr>
          <w:p>
            <w:pPr>
              <w:jc w:val="center"/>
            </w:pPr>
            <w:r>
              <w:rPr>
                <w:rFonts w:ascii="Times New Roman" w:hAnsi="Times New Roman" w:eastAsia="Noto Serif CJK SC" w:cs="Times New Roman"/>
                <w:b w:val="0"/>
                <w:i w:val="0"/>
                <w:sz w:val="19"/>
              </w:rPr>
              <w:t>O(p) = 1 [ Σ_c y_c(p) ≥ 2 ].</w:t>
            </w:r>
          </w:p>
        </w:tc>
        <w:tc>
          <w:tcPr>
            <w:tcW w:type="dxa" w:w="5155"/>
            <w:vAlign w:val="center"/>
            <w:tcMar>
              <w:top w:w="0" w:type="dxa"/>
              <w:start w:w="0" w:type="dxa"/>
              <w:bottom w:w="0" w:type="dxa"/>
              <w:end w:w="0" w:type="dxa"/>
            </w:tcMar>
          </w:tcPr>
          <w:p>
            <w:pPr>
              <w:jc w:val="right"/>
            </w:pPr>
            <w:r>
              <w:rPr>
                <w:rFonts w:ascii="Times New Roman" w:hAnsi="Times New Roman" w:eastAsia="Noto Serif CJK SC" w:cs="Times New Roman"/>
                <w:b w:val="0"/>
                <w:i w:val="0"/>
                <w:sz w:val="18"/>
              </w:rPr>
              <w:t>(2)</w:t>
            </w:r>
          </w:p>
        </w:tc>
      </w:tr>
    </w:tbl>
    <w:p>
      <w:pPr>
        <w:pStyle w:val="BodyText"/>
        <w:keepLines w:val="0"/>
        <w:spacing w:after="0" w:before="0" w:line="240" w:lineRule="auto"/>
        <w:ind w:firstLine="230"/>
        <w:jc w:val="both"/>
      </w:pPr>
      <w:r>
        <w:rPr>
          <w:rFonts w:ascii="Times New Roman" w:hAnsi="Times New Roman" w:eastAsia="Noto Serif CJK SC" w:cs="Times New Roman"/>
          <w:b w:val="0"/>
          <w:i w:val="0"/>
          <w:sz w:val="18"/>
        </w:rPr>
        <w:t>在 TSRS 中，前景并集标签无法揭示同一像素是否具有多重成员归属。因此，我们不会将普通前景像素重新解释为重叠标签，也不会在 TSRS 上训练强重叠目标。相反，在前向过程中仅将 RAM 上训练得到的预测器作为迁移的弱先验使用。该区分是整个框架正确处理标注语义的关键。</w:t>
      </w:r>
    </w:p>
    <w:p>
      <w:pPr>
        <w:keepNext/>
        <w:spacing w:before="60" w:after="30"/>
        <w:jc w:val="left"/>
      </w:pPr>
      <w:r>
        <w:rPr>
          <w:rFonts w:ascii="Times New Roman" w:hAnsi="Times New Roman" w:eastAsia="Noto Sans CJK SC" w:cs="Times New Roman"/>
          <w:b/>
          <w:i w:val="0"/>
          <w:sz w:val="19"/>
        </w:rPr>
        <w:t>输出补全细化。</w:t>
      </w:r>
    </w:p>
    <w:p>
      <w:pPr>
        <w:pStyle w:val="BodyText"/>
        <w:keepLines w:val="0"/>
        <w:spacing w:after="0" w:before="0" w:line="240" w:lineRule="auto"/>
        <w:ind w:firstLine="230"/>
        <w:jc w:val="both"/>
      </w:pPr>
      <w:r>
        <w:rPr>
          <w:rFonts w:ascii="Times New Roman" w:hAnsi="Times New Roman" w:eastAsia="Noto Serif CJK SC" w:cs="Times New Roman"/>
          <w:b w:val="0"/>
          <w:i w:val="0"/>
          <w:sz w:val="18"/>
        </w:rPr>
        <w:t>骨干网络之后，共享的补全细化器 Rψ 针对每一个前景成员进行处理。对于每个成员，它接收X线图像、该成员当前概率、其余成员的汇总上下文、预测不确定性、图像梯度图，以及交互上下文 c = s(1−o)。同一组细化器参数在所有成员之间共享；对于前景并集任务，也只需处理单一前景成员。输出残差头采用零初始化，因此模型初始预测与骨干网络完全一致。</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032"/>
        <w:gridCol w:w="504"/>
      </w:tblGrid>
      <w:tr>
        <w:tc>
          <w:tcPr>
            <w:tcW w:type="dxa" w:w="5155"/>
            <w:vAlign w:val="center"/>
            <w:tcMar>
              <w:top w:w="0" w:type="dxa"/>
              <w:start w:w="0" w:type="dxa"/>
              <w:bottom w:w="0" w:type="dxa"/>
              <w:end w:w="0" w:type="dxa"/>
            </w:tcMar>
          </w:tcPr>
          <w:p>
            <w:pPr>
              <w:jc w:val="center"/>
            </w:pPr>
            <w:r>
              <w:rPr>
                <w:rFonts w:ascii="Times New Roman" w:hAnsi="Times New Roman" w:eastAsia="Noto Serif CJK SC" w:cs="Times New Roman"/>
                <w:b w:val="0"/>
                <w:i w:val="0"/>
                <w:sz w:val="19"/>
              </w:rPr>
              <w:t>ẑ_c = z_c + Rψ(x, σ(z_c), context_{−c}, u_c, ∇x, s(1−o)).</w:t>
            </w:r>
          </w:p>
        </w:tc>
        <w:tc>
          <w:tcPr>
            <w:tcW w:type="dxa" w:w="5155"/>
            <w:vAlign w:val="center"/>
            <w:tcMar>
              <w:top w:w="0" w:type="dxa"/>
              <w:start w:w="0" w:type="dxa"/>
              <w:bottom w:w="0" w:type="dxa"/>
              <w:end w:w="0" w:type="dxa"/>
            </w:tcMar>
          </w:tcPr>
          <w:p>
            <w:pPr>
              <w:jc w:val="right"/>
            </w:pPr>
            <w:r>
              <w:rPr>
                <w:rFonts w:ascii="Times New Roman" w:hAnsi="Times New Roman" w:eastAsia="Noto Serif CJK SC" w:cs="Times New Roman"/>
                <w:b w:val="0"/>
                <w:i w:val="0"/>
                <w:sz w:val="18"/>
              </w:rPr>
              <w:t>(3)</w:t>
            </w:r>
          </w:p>
        </w:tc>
      </w:tr>
    </w:tbl>
    <w:p>
      <w:pPr>
        <w:pStyle w:val="BodyText"/>
        <w:keepLines w:val="0"/>
        <w:spacing w:after="0" w:before="0" w:line="240" w:lineRule="auto"/>
        <w:ind w:firstLine="230"/>
        <w:jc w:val="both"/>
      </w:pPr>
      <w:r>
        <w:rPr>
          <w:rFonts w:ascii="Times New Roman" w:hAnsi="Times New Roman" w:eastAsia="Noto Serif CJK SC" w:cs="Times New Roman"/>
          <w:b w:val="0"/>
          <w:i w:val="0"/>
          <w:sz w:val="18"/>
        </w:rPr>
        <w:t>对于 RAM-W600，其他成员概率提供的上下文使细化器能够在同一投影位置已经预测出另一块骨骼时，恢复局部缺失的成员归属。对于 TSRS，由于真实重叠归属不可观测，输出分支保持保守。最终论文将同时报告 seam-only 与 dual-prior 变体，用于量化迁移重叠上下文究竟帮助还是干扰 TSRS 目标。</w:t>
      </w:r>
    </w:p>
    <w:p>
      <w:pPr>
        <w:sectPr>
          <w:type w:val="continuous"/>
          <w:pgSz w:w="12240" w:h="15840"/>
          <w:pgMar w:top="922" w:right="965" w:bottom="893" w:left="965" w:header="360" w:footer="360" w:gutter="0"/>
          <w:cols w:space="280" w:num="2"/>
          <w:docGrid w:linePitch="360"/>
        </w:sectPr>
      </w:pPr>
    </w:p>
    <w:tbl>
      <w:tblPr>
        <w:tblW w:type="auto" w:w="0"/>
        <w:jc w:val="center"/>
        <w:tblLayout w:type="fixed"/>
        <w:tblLook w:firstColumn="1" w:firstRow="1" w:lastColumn="0" w:lastRow="0" w:noHBand="0" w:noVBand="1" w:val="04A0"/>
      </w:tblPr>
      <w:tblGrid>
        <w:gridCol w:w="10310"/>
      </w:tblGrid>
      <w:tr>
        <w:trPr>
          <w:trHeight w:val="4176" w:hRule="atLeast"/>
        </w:trPr>
        <w:tc>
          <w:tcPr>
            <w:tcW w:type="dxa" w:w="10080"/>
            <w:vAlign w:val="center"/>
            <w:shd w:fill="F3F3F3"/>
            <w:tcMar>
              <w:top w:w="100" w:type="dxa"/>
              <w:start w:w="100" w:type="dxa"/>
              <w:bottom w:w="100" w:type="dxa"/>
              <w:end w:w="100" w:type="dxa"/>
            </w:tcMar>
          </w:tcPr>
          <w:p>
            <w:pPr>
              <w:jc w:val="center"/>
            </w:pPr>
            <w:r>
              <w:rPr>
                <w:rFonts w:ascii="Times New Roman" w:hAnsi="Times New Roman" w:eastAsia="Noto Serif CJK SC" w:cs="Times New Roman"/>
                <w:b/>
                <w:color w:val="C00000"/>
                <w:sz w:val="20"/>
              </w:rPr>
              <w:t>[待补充 图2：最终方法框架图]</w:t>
            </w:r>
            <w:r>
              <w:rPr>
                <w:rFonts w:ascii="Times New Roman" w:hAnsi="Times New Roman" w:eastAsia="Noto Serif CJK SC" w:cs="Times New Roman"/>
                <w:b/>
                <w:sz w:val="20"/>
              </w:rPr>
              <w:br/>
              <w:t>图像 + 骨缝先验 → 有界输入适配器 → 通用骨干网络 → logits → 重叠感知补全细化器</w:t>
              <w:br/>
              <w:t>RAM：可观测多标签重叠监督 | TSRS：重叠成员归属未知</w:t>
            </w:r>
          </w:p>
        </w:tc>
      </w:tr>
    </w:tbl>
    <w:p>
      <w:pPr>
        <w:spacing w:before="40" w:after="60"/>
        <w:jc w:val="both"/>
      </w:pPr>
      <w:r>
        <w:rPr>
          <w:rFonts w:ascii="Times New Roman" w:hAnsi="Times New Roman" w:eastAsia="Noto Serif CJK SC" w:cs="Times New Roman"/>
          <w:b w:val="0"/>
          <w:i w:val="0"/>
          <w:sz w:val="17"/>
        </w:rPr>
        <w:t>图2：DualPriorSeg 总体框架。冻结或联合微调的通用骨干网络由输入端骨缝适配器和输出端补全细化器包裹。图像条件化重叠先验从 RAM 可观测的多标签重叠中学习。TSRS 不构造虚假的重叠标签，而由监督可用性显式控制重叠损失。整个方法仅需要标准图像/logit 接口，因此同一套先验模块可以包裹不同骨干网络。</w:t>
      </w:r>
    </w:p>
    <w:p>
      <w:pPr>
        <w:sectPr>
          <w:type w:val="continuous"/>
          <w:pgSz w:w="12240" w:h="15840"/>
          <w:pgMar w:top="922" w:right="965" w:bottom="893" w:left="965" w:header="360" w:footer="360" w:gutter="0"/>
          <w:cols w:space="280" w:num="1"/>
          <w:docGrid w:linePitch="360"/>
        </w:sectPr>
      </w:pPr>
    </w:p>
    <w:p>
      <w:pPr>
        <w:keepNext/>
        <w:spacing w:before="60" w:after="30"/>
        <w:jc w:val="left"/>
      </w:pPr>
      <w:r>
        <w:rPr>
          <w:rFonts w:ascii="Times New Roman" w:hAnsi="Times New Roman" w:eastAsia="Noto Sans CJK SC" w:cs="Times New Roman"/>
          <w:b/>
          <w:i w:val="0"/>
          <w:sz w:val="19"/>
        </w:rPr>
        <w:t>可观测统一目标函数。</w:t>
      </w:r>
    </w:p>
    <w:p>
      <w:pPr>
        <w:pStyle w:val="BodyText"/>
        <w:keepLines w:val="0"/>
        <w:spacing w:after="0" w:before="0" w:line="240" w:lineRule="auto"/>
        <w:ind w:firstLine="230"/>
        <w:jc w:val="both"/>
      </w:pPr>
      <w:r>
        <w:rPr>
          <w:rFonts w:ascii="Times New Roman" w:hAnsi="Times New Roman" w:eastAsia="Noto Serif CJK SC" w:cs="Times New Roman"/>
          <w:b w:val="0"/>
          <w:i w:val="0"/>
          <w:sz w:val="18"/>
        </w:rPr>
        <w:t>训练将原始分割目标与依据标注可用性启用的结构项结合。设 v 为有效像素掩膜，y 为目标，p = σ(ẑ)，p_b 为用于保真的冻结骨干概率。基础项由二元交叉熵、Soft Dice 和一个较小的前景召回惩罚组成。分离区域定义为骨缝走廊与已观测背景的交集；重叠补全区域则仅在多重成员归属可观测时启用。</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032"/>
        <w:gridCol w:w="504"/>
      </w:tblGrid>
      <w:tr>
        <w:tc>
          <w:tcPr>
            <w:tcW w:type="dxa" w:w="5155"/>
            <w:vAlign w:val="center"/>
            <w:tcMar>
              <w:top w:w="0" w:type="dxa"/>
              <w:start w:w="0" w:type="dxa"/>
              <w:bottom w:w="0" w:type="dxa"/>
              <w:end w:w="0" w:type="dxa"/>
            </w:tcMar>
          </w:tcPr>
          <w:p>
            <w:pPr>
              <w:jc w:val="center"/>
            </w:pPr>
            <w:r>
              <w:rPr>
                <w:rFonts w:ascii="Times New Roman" w:hAnsi="Times New Roman" w:eastAsia="Noto Serif CJK SC" w:cs="Times New Roman"/>
                <w:b w:val="0"/>
                <w:i w:val="0"/>
                <w:sz w:val="19"/>
              </w:rPr>
              <w:t>L = L_base + λ_s L_sep + q_o λ_o L_ov + λ_p L_pres,</w:t>
            </w:r>
          </w:p>
        </w:tc>
        <w:tc>
          <w:tcPr>
            <w:tcW w:type="dxa" w:w="5155"/>
            <w:vAlign w:val="center"/>
            <w:tcMar>
              <w:top w:w="0" w:type="dxa"/>
              <w:start w:w="0" w:type="dxa"/>
              <w:bottom w:w="0" w:type="dxa"/>
              <w:end w:w="0" w:type="dxa"/>
            </w:tcMar>
          </w:tcPr>
          <w:p>
            <w:pPr>
              <w:jc w:val="right"/>
            </w:pPr>
            <w:r>
              <w:rPr>
                <w:rFonts w:ascii="Times New Roman" w:hAnsi="Times New Roman" w:eastAsia="Noto Serif CJK SC" w:cs="Times New Roman"/>
                <w:b w:val="0"/>
                <w:i w:val="0"/>
                <w:sz w:val="18"/>
              </w:rPr>
              <w:t>(4)</w:t>
            </w:r>
          </w:p>
        </w:tc>
      </w:tr>
    </w:tbl>
    <w:p>
      <w:pPr>
        <w:pStyle w:val="BodyText"/>
        <w:keepLines w:val="0"/>
        <w:spacing w:after="0" w:before="0" w:line="240" w:lineRule="auto"/>
        <w:ind w:firstLine="230"/>
        <w:jc w:val="both"/>
      </w:pPr>
      <w:r>
        <w:rPr>
          <w:rFonts w:ascii="Times New Roman" w:hAnsi="Times New Roman" w:eastAsia="Noto Serif CJK SC" w:cs="Times New Roman"/>
          <w:b w:val="0"/>
          <w:i w:val="0"/>
          <w:sz w:val="18"/>
        </w:rPr>
        <w:t>其中，对于 RAM-W600，q_o = 1；对于 TSRS 的重叠成员归属，q_o = 0。L_sep 惩罚骨缝支持背景区域中的错误前景预测；L_ov 鼓励真实多重成员像素中的正成员 logits；L_pres 则在结构目标区域之外约束当前概率不要偏离基线概率，以减少为了改善局部先验目标而对普通分割区域产生过大扰动。当前 pilot 实现中，λ_s 与 λ_o 从 0 逐步增加至 0.035，λ_p 增加至 0.10；最终取值将依据预先定义的验证协议确定，并在正式测试前冻结。</w:t>
      </w:r>
    </w:p>
    <w:p>
      <w:pPr>
        <w:keepNext/>
        <w:spacing w:before="60" w:after="30"/>
        <w:jc w:val="left"/>
      </w:pPr>
      <w:r>
        <w:rPr>
          <w:rFonts w:ascii="Times New Roman" w:hAnsi="Times New Roman" w:eastAsia="Noto Sans CJK SC" w:cs="Times New Roman"/>
          <w:b/>
          <w:i w:val="0"/>
          <w:sz w:val="19"/>
        </w:rPr>
        <w:t>主梯度锚定式路由。</w:t>
      </w:r>
    </w:p>
    <w:p>
      <w:pPr>
        <w:pStyle w:val="BodyText"/>
        <w:keepLines w:val="0"/>
        <w:spacing w:after="0" w:before="0" w:line="240" w:lineRule="auto"/>
        <w:ind w:firstLine="230"/>
        <w:jc w:val="both"/>
      </w:pPr>
      <w:r>
        <w:rPr>
          <w:rFonts w:ascii="Times New Roman" w:hAnsi="Times New Roman" w:eastAsia="Noto Serif CJK SC" w:cs="Times New Roman"/>
          <w:b w:val="0"/>
          <w:i w:val="0"/>
          <w:sz w:val="18"/>
        </w:rPr>
        <w:t>为减少破坏性干扰，我们在参数空间中计算梯度。设 g_b 为 L_base 的梯度，g_a 为某个辅助项的梯度。当辅助梯度与基础梯度发生冲突时，我们去除其在 g_b 反方向上的分量：</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032"/>
        <w:gridCol w:w="504"/>
      </w:tblGrid>
      <w:tr>
        <w:tc>
          <w:tcPr>
            <w:tcW w:type="dxa" w:w="5155"/>
            <w:vAlign w:val="center"/>
            <w:tcMar>
              <w:top w:w="0" w:type="dxa"/>
              <w:start w:w="0" w:type="dxa"/>
              <w:bottom w:w="0" w:type="dxa"/>
              <w:end w:w="0" w:type="dxa"/>
            </w:tcMar>
          </w:tcPr>
          <w:p>
            <w:pPr>
              <w:jc w:val="center"/>
            </w:pPr>
            <w:r>
              <w:rPr>
                <w:rFonts w:ascii="Times New Roman" w:hAnsi="Times New Roman" w:eastAsia="Noto Serif CJK SC" w:cs="Times New Roman"/>
                <w:b w:val="0"/>
                <w:i w:val="0"/>
                <w:sz w:val="19"/>
              </w:rPr>
              <w:t>g′_a = g_a − (g_aᵀ g_b / ||g_b||²) g_b,    if g_aᵀ g_b &lt; 0.</w:t>
            </w:r>
          </w:p>
        </w:tc>
        <w:tc>
          <w:tcPr>
            <w:tcW w:type="dxa" w:w="5155"/>
            <w:vAlign w:val="center"/>
            <w:tcMar>
              <w:top w:w="0" w:type="dxa"/>
              <w:start w:w="0" w:type="dxa"/>
              <w:bottom w:w="0" w:type="dxa"/>
              <w:end w:w="0" w:type="dxa"/>
            </w:tcMar>
          </w:tcPr>
          <w:p>
            <w:pPr>
              <w:jc w:val="right"/>
            </w:pPr>
            <w:r>
              <w:rPr>
                <w:rFonts w:ascii="Times New Roman" w:hAnsi="Times New Roman" w:eastAsia="Noto Serif CJK SC" w:cs="Times New Roman"/>
                <w:b w:val="0"/>
                <w:i w:val="0"/>
                <w:sz w:val="18"/>
              </w:rPr>
              <w:t>(5)</w:t>
            </w:r>
          </w:p>
        </w:tc>
      </w:tr>
    </w:tbl>
    <w:p>
      <w:pPr>
        <w:pStyle w:val="BodyText"/>
        <w:keepLines w:val="0"/>
        <w:spacing w:after="0" w:before="0" w:line="240" w:lineRule="auto"/>
        <w:ind w:firstLine="230"/>
        <w:jc w:val="both"/>
      </w:pPr>
      <w:r>
        <w:rPr>
          <w:rFonts w:ascii="Times New Roman" w:hAnsi="Times New Roman" w:eastAsia="Noto Serif CJK SC" w:cs="Times New Roman"/>
          <w:b w:val="0"/>
          <w:i w:val="0"/>
          <w:sz w:val="18"/>
        </w:rPr>
        <w:t>否则令 g′_a = g_a。之后，每个经过路由的辅助梯度按其请求权重缩放，并进一步限制其范数不超过 ||g_b|| 的固定比例（当前实验为 0.15）。为了满足辅助目标，基础梯度本身从不被投影。该机制用于缓解局部优化冲突，而实际是否不退化仍由独立留出数据进行验证。</w:t>
      </w:r>
    </w:p>
    <w:p>
      <w:pPr>
        <w:keepNext/>
        <w:spacing w:before="60" w:after="30"/>
        <w:jc w:val="left"/>
      </w:pPr>
      <w:r>
        <w:rPr>
          <w:rFonts w:ascii="Times New Roman" w:hAnsi="Times New Roman" w:eastAsia="Noto Sans CJK SC" w:cs="Times New Roman"/>
          <w:b/>
          <w:i w:val="0"/>
          <w:sz w:val="19"/>
        </w:rPr>
        <w:t>骨干接口约束。</w:t>
      </w:r>
    </w:p>
    <w:p>
      <w:pPr>
        <w:pStyle w:val="BodyText"/>
        <w:keepLines w:val="0"/>
        <w:spacing w:after="0" w:before="0" w:line="240" w:lineRule="auto"/>
        <w:ind w:firstLine="230"/>
        <w:jc w:val="both"/>
      </w:pPr>
      <w:r>
        <w:rPr>
          <w:rFonts w:ascii="Times New Roman" w:hAnsi="Times New Roman" w:eastAsia="Noto Serif CJK SC" w:cs="Times New Roman"/>
          <w:b w:val="0"/>
          <w:i w:val="0"/>
          <w:sz w:val="18"/>
        </w:rPr>
        <w:t>结构模块仅消费图像空间先验并输出 logits。因此，一个骨干适配器只需要实现原生图像输入接口，并将原生输出转换为前景/成员 logits。先验模块不会引用任何编码器层、解码器层或特征通道名称。我们以 nnU-Net 作为开发阶段骨干，并使用结构差异明显的 TransUNet 与 Swin-UMamba 进行可迁移性测试。</w:t>
      </w:r>
      <w:r>
        <w:rPr>
          <w:rFonts w:ascii="Times New Roman" w:hAnsi="Times New Roman" w:eastAsia="Noto Serif CJK SC" w:cs="Times New Roman"/>
          <w:b/>
          <w:i w:val="0"/>
          <w:color w:val="C00000"/>
          <w:sz w:val="18"/>
        </w:rPr>
        <w:t>[待补充：实验完成后补充最终跨骨干实现细节。]</w:t>
      </w:r>
    </w:p>
    <w:p>
      <w:pPr>
        <w:keepNext/>
        <w:spacing w:before="100" w:after="30"/>
        <w:jc w:val="center"/>
      </w:pPr>
      <w:r>
        <w:rPr>
          <w:rFonts w:ascii="Times New Roman" w:hAnsi="Times New Roman" w:eastAsia="Noto Sans CJK SC" w:cs="Times New Roman"/>
          <w:b/>
          <w:i w:val="0"/>
          <w:sz w:val="22"/>
        </w:rPr>
        <w:t>实验</w:t>
      </w:r>
    </w:p>
    <w:p>
      <w:pPr>
        <w:keepNext/>
        <w:spacing w:before="60" w:after="30"/>
        <w:jc w:val="left"/>
      </w:pPr>
      <w:r>
        <w:rPr>
          <w:rFonts w:ascii="Times New Roman" w:hAnsi="Times New Roman" w:eastAsia="Noto Sans CJK SC" w:cs="Times New Roman"/>
          <w:b/>
          <w:i w:val="0"/>
          <w:sz w:val="19"/>
        </w:rPr>
        <w:t>实验设置。</w:t>
      </w:r>
    </w:p>
    <w:p>
      <w:pPr>
        <w:keepNext/>
        <w:spacing w:before="60" w:after="30"/>
        <w:jc w:val="left"/>
      </w:pPr>
      <w:r>
        <w:rPr>
          <w:rFonts w:ascii="Times New Roman" w:hAnsi="Times New Roman" w:eastAsia="Noto Sans CJK SC" w:cs="Times New Roman"/>
          <w:b/>
          <w:i w:val="0"/>
          <w:sz w:val="19"/>
        </w:rPr>
        <w:t>数据集。</w:t>
      </w:r>
    </w:p>
    <w:p>
      <w:pPr>
        <w:pStyle w:val="BodyText"/>
        <w:keepLines w:val="0"/>
        <w:spacing w:after="0" w:before="0" w:line="240" w:lineRule="auto"/>
        <w:ind w:firstLine="230"/>
        <w:jc w:val="both"/>
      </w:pPr>
      <w:r>
        <w:rPr>
          <w:rFonts w:ascii="Times New Roman" w:hAnsi="Times New Roman" w:eastAsia="Noto Serif CJK SC" w:cs="Times New Roman"/>
          <w:b w:val="0"/>
          <w:i w:val="0"/>
          <w:sz w:val="18"/>
        </w:rPr>
        <w:t>TSRS。我们使用一个儿童手部X线数据集，其中包含逐图像的骨骼/骨化区域标注，并以所有骨性区域的前景并集作为主分割目标。待当前数据完整性审计完成后，最终论文将报告冻结的训练/验证/测试划分以及正式数据集引用：</w:t>
      </w:r>
      <w:r>
        <w:rPr>
          <w:rFonts w:ascii="Times New Roman" w:hAnsi="Times New Roman" w:eastAsia="Noto Serif CJK SC" w:cs="Times New Roman"/>
          <w:b/>
          <w:i w:val="0"/>
          <w:color w:val="C00000"/>
          <w:sz w:val="18"/>
        </w:rPr>
        <w:t>[待补充：TSRS 引用、总图像数、最终 train/val/test 数量]</w:t>
      </w:r>
      <w:r>
        <w:rPr>
          <w:rFonts w:ascii="Times New Roman" w:hAnsi="Times New Roman" w:eastAsia="Noto Serif CJK SC" w:cs="Times New Roman"/>
          <w:b w:val="0"/>
          <w:i w:val="0"/>
          <w:sz w:val="18"/>
        </w:rPr>
        <w:t>。在构建先验时，标签仅被视为单张图像内的匿名实例，而不是跨图像固定的解剖类别。主分割任务始终保持为二值前景分割。</w:t>
      </w:r>
    </w:p>
    <w:p>
      <w:pPr>
        <w:pStyle w:val="BodyText"/>
        <w:keepLines w:val="0"/>
        <w:spacing w:after="0" w:before="0" w:line="240" w:lineRule="auto"/>
        <w:ind w:firstLine="230"/>
        <w:jc w:val="both"/>
      </w:pPr>
      <w:r>
        <w:rPr>
          <w:rFonts w:ascii="Times New Roman" w:hAnsi="Times New Roman" w:eastAsia="Noto Serif CJK SC" w:cs="Times New Roman"/>
          <w:b w:val="0"/>
          <w:i w:val="0"/>
          <w:sz w:val="18"/>
        </w:rPr>
        <w:t>RAM-W600。RAM-W600 是一个面向类风湿关节炎研究的多任务腕部X线基准，共包含 1,048 张来自 388 名患者的图像，其中 618 张具有像素级实例分割标注（Yang et al. 2026）。我们遵循官方分割设置以及 14 成员输出表示。模型选择仅使用训练集和验证集；测试集不参与阈值或超参数选择。</w:t>
      </w:r>
      <w:r>
        <w:rPr>
          <w:rFonts w:ascii="Times New Roman" w:hAnsi="Times New Roman" w:eastAsia="Noto Serif CJK SC" w:cs="Times New Roman"/>
          <w:b/>
          <w:i w:val="0"/>
          <w:color w:val="C00000"/>
          <w:sz w:val="18"/>
        </w:rPr>
        <w:t>[待补充：根据最终发布的实验 manifest 填入实际使用的划分数量。]</w:t>
      </w:r>
    </w:p>
    <w:p>
      <w:pPr>
        <w:keepNext/>
        <w:spacing w:before="60" w:after="30"/>
        <w:jc w:val="left"/>
      </w:pPr>
      <w:r>
        <w:rPr>
          <w:rFonts w:ascii="Times New Roman" w:hAnsi="Times New Roman" w:eastAsia="Noto Sans CJK SC" w:cs="Times New Roman"/>
          <w:b/>
          <w:i w:val="0"/>
          <w:sz w:val="19"/>
        </w:rPr>
        <w:t>评价协议与指标。</w:t>
      </w:r>
    </w:p>
    <w:p>
      <w:pPr>
        <w:pStyle w:val="BodyText"/>
        <w:keepLines w:val="0"/>
        <w:spacing w:after="0" w:before="0" w:line="240" w:lineRule="auto"/>
        <w:ind w:firstLine="230"/>
        <w:jc w:val="both"/>
      </w:pPr>
      <w:r>
        <w:rPr>
          <w:rFonts w:ascii="Times New Roman" w:hAnsi="Times New Roman" w:eastAsia="Noto Serif CJK SC" w:cs="Times New Roman"/>
          <w:b w:val="0"/>
          <w:i w:val="0"/>
          <w:sz w:val="18"/>
        </w:rPr>
        <w:t>我们有意采用已有、通用的分割评价指标，而不额外设计面向论文的新评分。TSRS 使用 Dice、IoU、Precision、Recall、Boundary IoU、Boundary F1、2/5 像素 Surface Dice、HD95 和 ASSD 进行评价。RAM-W600 则遵循其官方基准指标：DSC、归一化 Surface Dice（NSD）、体积重叠误差（VOE）、平均表面距离（MSD）以及相对绝对体积差（RAVD）。骨缝区域和重叠区域的内部诊断指标可以继续用于机制分析，但不作为主要性能结论的必要依据。由于单一指标族难以完整描述分割质量，这种多指标设计符合同时结合重叠类与边界/表面类指标的评价建议（Maier-Hein et al. 2024）。</w:t>
      </w:r>
    </w:p>
    <w:p>
      <w:pPr>
        <w:keepNext/>
        <w:spacing w:before="60" w:after="30"/>
        <w:jc w:val="left"/>
      </w:pPr>
      <w:r>
        <w:rPr>
          <w:rFonts w:ascii="Times New Roman" w:hAnsi="Times New Roman" w:eastAsia="Noto Sans CJK SC" w:cs="Times New Roman"/>
          <w:b/>
          <w:i w:val="0"/>
          <w:sz w:val="19"/>
        </w:rPr>
        <w:t>匹配对照。</w:t>
      </w:r>
    </w:p>
    <w:p>
      <w:pPr>
        <w:pStyle w:val="BodyText"/>
        <w:keepLines w:val="0"/>
        <w:spacing w:after="0" w:before="0" w:line="240" w:lineRule="auto"/>
        <w:ind w:firstLine="230"/>
        <w:jc w:val="both"/>
      </w:pPr>
      <w:r>
        <w:rPr>
          <w:rFonts w:ascii="Times New Roman" w:hAnsi="Times New Roman" w:eastAsia="Noto Serif CJK SC" w:cs="Times New Roman"/>
          <w:b w:val="0"/>
          <w:i w:val="0"/>
          <w:sz w:val="18"/>
        </w:rPr>
        <w:t>最终消融实验从完全相同的原生骨干 checkpoint 出发，并采用匹配的额外训练预算。对于 nnU-Net，我们在相同数据划分、优化器、学习率调度、数据增强、随机种子、checkpoint 选择规则和评价器条件下，比较 Native-Continue、Seam-Only、Overlap-Only 与 Dual-Prior 四种配置。该对照十分必要，因为历史开发实验中 TSRS 由成熟的 R350 checkpoint 初始化，RAM 则由成熟的 R332 checkpoint 初始化；这些历史结果仅保留为开发证据，不作为最终因果消融依据。</w:t>
      </w:r>
    </w:p>
    <w:p>
      <w:pPr>
        <w:keepNext/>
        <w:spacing w:before="60" w:after="30"/>
        <w:jc w:val="left"/>
      </w:pPr>
      <w:r>
        <w:rPr>
          <w:rFonts w:ascii="Times New Roman" w:hAnsi="Times New Roman" w:eastAsia="Noto Sans CJK SC" w:cs="Times New Roman"/>
          <w:b/>
          <w:i w:val="0"/>
          <w:sz w:val="19"/>
        </w:rPr>
        <w:t>基线与骨干可迁移性。</w:t>
      </w:r>
    </w:p>
    <w:p>
      <w:pPr>
        <w:pStyle w:val="BodyText"/>
        <w:keepLines w:val="0"/>
        <w:spacing w:after="0" w:before="0" w:line="240" w:lineRule="auto"/>
        <w:ind w:firstLine="230"/>
        <w:jc w:val="both"/>
      </w:pPr>
      <w:r>
        <w:rPr>
          <w:rFonts w:ascii="Times New Roman" w:hAnsi="Times New Roman" w:eastAsia="Noto Serif CJK SC" w:cs="Times New Roman"/>
          <w:b w:val="0"/>
          <w:i w:val="0"/>
          <w:sz w:val="18"/>
        </w:rPr>
        <w:t>我们使用 nnU-Net 作为主要医学图像分割基线（Isensee et al. 2021）。为验证可迁移性，进一步将相同的先验模块接入 TransUNet（Chen et al. 2021）与 Swin-UMamba（Liu et al. 2024）。在可迁移性表格中，每个架构只需与其匹配的 +DualPriorSeg 版本进行比较；完整的 Seam/Overlap/Dual 消融仅在 nnU-Net 上执行。RAM-W600 还将与 Yang et al. (2026) 官方论文中报告的公开基准系统比较，但前提是严格匹配官方测试协议。</w:t>
      </w:r>
    </w:p>
    <w:p>
      <w:pPr>
        <w:keepNext/>
        <w:spacing w:before="60" w:after="30"/>
        <w:jc w:val="left"/>
      </w:pPr>
      <w:r>
        <w:rPr>
          <w:rFonts w:ascii="Times New Roman" w:hAnsi="Times New Roman" w:eastAsia="Noto Sans CJK SC" w:cs="Times New Roman"/>
          <w:b/>
          <w:i w:val="0"/>
          <w:sz w:val="19"/>
        </w:rPr>
        <w:t>实现细节。</w:t>
      </w:r>
    </w:p>
    <w:p>
      <w:pPr>
        <w:pStyle w:val="BodyText"/>
        <w:keepLines w:val="0"/>
        <w:spacing w:after="0" w:before="0" w:line="240" w:lineRule="auto"/>
        <w:ind w:firstLine="230"/>
        <w:jc w:val="both"/>
      </w:pPr>
      <w:r>
        <w:rPr>
          <w:rFonts w:ascii="Times New Roman" w:hAnsi="Times New Roman" w:eastAsia="Noto Serif CJK SC" w:cs="Times New Roman"/>
          <w:b w:val="0"/>
          <w:i w:val="0"/>
          <w:sz w:val="18"/>
        </w:rPr>
        <w:t>当前 nnU-Net pilot 使用 α = 0.10 的骨缝输入残差上限、单步输出细化、AdamW 优化器，并对适配器参数采用 2×10^−5 的较低学习率。训练早期逐步增加辅助损失权重，每个经路由后的辅助梯度范数最多为基础梯度范数的 15%。正式训练前，会在真实 batch 上验证恒等初始化。最终实验将采用 adapter-only 或 joint-finetuning 模式，并为相应基线配置严格匹配的对照；具体 batch size、骨干学习率比例、epoch 数、数据增强、GPU 硬件和随机种子将在最终 run manifest 冻结后补充：</w:t>
      </w:r>
      <w:r>
        <w:rPr>
          <w:rFonts w:ascii="Times New Roman" w:hAnsi="Times New Roman" w:eastAsia="Noto Serif CJK SC" w:cs="Times New Roman"/>
          <w:b/>
          <w:i w:val="0"/>
          <w:color w:val="C00000"/>
          <w:sz w:val="18"/>
        </w:rPr>
        <w:t>[待补充：最终实现配置]</w:t>
      </w:r>
      <w:r>
        <w:rPr>
          <w:rFonts w:ascii="Times New Roman" w:hAnsi="Times New Roman" w:eastAsia="Noto Serif CJK SC" w:cs="Times New Roman"/>
          <w:b w:val="0"/>
          <w:i w:val="0"/>
          <w:sz w:val="18"/>
        </w:rPr>
        <w:t>。</w:t>
      </w:r>
    </w:p>
    <w:p>
      <w:pPr>
        <w:sectPr>
          <w:type w:val="continuous"/>
          <w:pgSz w:w="12240" w:h="15840"/>
          <w:pgMar w:top="922" w:right="965" w:bottom="893" w:left="965" w:header="360" w:footer="360" w:gutter="0"/>
          <w:cols w:space="280" w:num="2"/>
          <w:docGrid w:linePitch="360"/>
        </w:sectPr>
      </w:pPr>
    </w:p>
    <w:p>
      <w:pPr>
        <w:spacing w:before="40" w:after="40"/>
        <w:jc w:val="center"/>
      </w:pPr>
      <w:r>
        <w:rPr>
          <w:rFonts w:ascii="Times New Roman" w:hAnsi="Times New Roman" w:eastAsia="Noto Serif CJK SC" w:cs="Times New Roman"/>
          <w:b w:val="0"/>
          <w:i w:val="0"/>
          <w:sz w:val="17"/>
        </w:rPr>
        <w:t>表1：TSRS 与 RAM-W600 的主要分割结果。除特别说明外，所有数值均为最终测试结果。箭头表示指标的优选方向。</w:t>
      </w:r>
    </w:p>
    <w:tbl>
      <w:tblPr>
        <w:tblW w:type="auto" w:w="0"/>
        <w:jc w:val="center"/>
        <w:tblLayout w:type="fixed"/>
        <w:tblLook w:firstColumn="1" w:firstRow="1" w:lastColumn="0" w:lastRow="0" w:noHBand="0" w:noVBand="1" w:val="04A0"/>
      </w:tblPr>
      <w:tblGrid>
        <w:gridCol w:w="1473"/>
        <w:gridCol w:w="1473"/>
        <w:gridCol w:w="1473"/>
        <w:gridCol w:w="1473"/>
        <w:gridCol w:w="1473"/>
        <w:gridCol w:w="1473"/>
        <w:gridCol w:w="1473"/>
      </w:tblGrid>
      <w:tr>
        <w:trPr>
          <w:tblHeader w:val="true"/>
          <w:cantSplit/>
        </w:trPr>
        <w:tc>
          <w:tcPr>
            <w:tcW w:type="dxa" w:w="1440"/>
            <w:shd w:fill="EAEAEA"/>
            <w:tcMar>
              <w:top w:w="45" w:type="dxa"/>
              <w:start w:w="35" w:type="dxa"/>
              <w:bottom w:w="45" w:type="dxa"/>
              <w:end w:w="35" w:type="dxa"/>
            </w:tcMar>
          </w:tcPr>
          <w:p>
            <w:pPr>
              <w:jc w:val="center"/>
            </w:pPr>
            <w:r>
              <w:rPr>
                <w:rFonts w:ascii="Times New Roman" w:hAnsi="Times New Roman" w:eastAsia="Noto Serif CJK SC" w:cs="Times New Roman"/>
                <w:b/>
                <w:sz w:val="15"/>
              </w:rPr>
              <w:t>数据集</w:t>
            </w:r>
          </w:p>
        </w:tc>
        <w:tc>
          <w:tcPr>
            <w:tcW w:type="dxa" w:w="2880"/>
            <w:shd w:fill="EAEAEA"/>
            <w:tcMar>
              <w:top w:w="45" w:type="dxa"/>
              <w:start w:w="35" w:type="dxa"/>
              <w:bottom w:w="45" w:type="dxa"/>
              <w:end w:w="35" w:type="dxa"/>
            </w:tcMar>
          </w:tcPr>
          <w:p>
            <w:pPr>
              <w:jc w:val="center"/>
            </w:pPr>
            <w:r>
              <w:rPr>
                <w:rFonts w:ascii="Times New Roman" w:hAnsi="Times New Roman" w:eastAsia="Noto Serif CJK SC" w:cs="Times New Roman"/>
                <w:b/>
                <w:sz w:val="15"/>
              </w:rPr>
              <w:t>方法</w:t>
            </w:r>
          </w:p>
        </w:tc>
        <w:tc>
          <w:tcPr>
            <w:tcW w:type="dxa" w:w="1152"/>
            <w:shd w:fill="EAEAEA"/>
            <w:tcMar>
              <w:top w:w="45" w:type="dxa"/>
              <w:start w:w="35" w:type="dxa"/>
              <w:bottom w:w="45" w:type="dxa"/>
              <w:end w:w="35" w:type="dxa"/>
            </w:tcMar>
          </w:tcPr>
          <w:p>
            <w:pPr>
              <w:jc w:val="center"/>
            </w:pPr>
            <w:r>
              <w:rPr>
                <w:rFonts w:ascii="Times New Roman" w:hAnsi="Times New Roman" w:eastAsia="Noto Serif CJK SC" w:cs="Times New Roman"/>
                <w:b/>
                <w:sz w:val="15"/>
              </w:rPr>
              <w:t>Dice/DSC ↑</w:t>
            </w:r>
          </w:p>
        </w:tc>
        <w:tc>
          <w:tcPr>
            <w:tcW w:type="dxa" w:w="1152"/>
            <w:shd w:fill="EAEAEA"/>
            <w:tcMar>
              <w:top w:w="45" w:type="dxa"/>
              <w:start w:w="35" w:type="dxa"/>
              <w:bottom w:w="45" w:type="dxa"/>
              <w:end w:w="35" w:type="dxa"/>
            </w:tcMar>
          </w:tcPr>
          <w:p>
            <w:pPr>
              <w:jc w:val="center"/>
            </w:pPr>
            <w:r>
              <w:rPr>
                <w:rFonts w:ascii="Times New Roman" w:hAnsi="Times New Roman" w:eastAsia="Noto Serif CJK SC" w:cs="Times New Roman"/>
                <w:b/>
                <w:sz w:val="15"/>
              </w:rPr>
              <w:t>IoU/VOE</w:t>
            </w:r>
          </w:p>
        </w:tc>
        <w:tc>
          <w:tcPr>
            <w:tcW w:type="dxa" w:w="1440"/>
            <w:shd w:fill="EAEAEA"/>
            <w:tcMar>
              <w:top w:w="45" w:type="dxa"/>
              <w:start w:w="35" w:type="dxa"/>
              <w:bottom w:w="45" w:type="dxa"/>
              <w:end w:w="35" w:type="dxa"/>
            </w:tcMar>
          </w:tcPr>
          <w:p>
            <w:pPr>
              <w:jc w:val="center"/>
            </w:pPr>
            <w:r>
              <w:rPr>
                <w:rFonts w:ascii="Times New Roman" w:hAnsi="Times New Roman" w:eastAsia="Noto Serif CJK SC" w:cs="Times New Roman"/>
                <w:b/>
                <w:sz w:val="15"/>
              </w:rPr>
              <w:t>Boundary/NSD ↑</w:t>
            </w:r>
          </w:p>
        </w:tc>
        <w:tc>
          <w:tcPr>
            <w:tcW w:type="dxa" w:w="1296"/>
            <w:shd w:fill="EAEAEA"/>
            <w:tcMar>
              <w:top w:w="45" w:type="dxa"/>
              <w:start w:w="35" w:type="dxa"/>
              <w:bottom w:w="45" w:type="dxa"/>
              <w:end w:w="35" w:type="dxa"/>
            </w:tcMar>
          </w:tcPr>
          <w:p>
            <w:pPr>
              <w:jc w:val="center"/>
            </w:pPr>
            <w:r>
              <w:rPr>
                <w:rFonts w:ascii="Times New Roman" w:hAnsi="Times New Roman" w:eastAsia="Noto Serif CJK SC" w:cs="Times New Roman"/>
                <w:b/>
                <w:sz w:val="15"/>
              </w:rPr>
              <w:t>HD95/MSD ↓</w:t>
            </w:r>
          </w:p>
        </w:tc>
        <w:tc>
          <w:tcPr>
            <w:tcW w:type="dxa" w:w="1296"/>
            <w:shd w:fill="EAEAEA"/>
            <w:tcMar>
              <w:top w:w="45" w:type="dxa"/>
              <w:start w:w="35" w:type="dxa"/>
              <w:bottom w:w="45" w:type="dxa"/>
              <w:end w:w="35" w:type="dxa"/>
            </w:tcMar>
          </w:tcPr>
          <w:p>
            <w:pPr>
              <w:jc w:val="center"/>
            </w:pPr>
            <w:r>
              <w:rPr>
                <w:rFonts w:ascii="Times New Roman" w:hAnsi="Times New Roman" w:eastAsia="Noto Serif CJK SC" w:cs="Times New Roman"/>
                <w:b/>
                <w:sz w:val="15"/>
              </w:rPr>
              <w:t>ASSD/RAVD ↓</w:t>
            </w:r>
          </w:p>
        </w:tc>
      </w:tr>
      <w:tr>
        <w:trPr>
          <w:cantSplit/>
        </w:trPr>
        <w:tc>
          <w:tcPr>
            <w:tcW w:type="dxa" w:w="1440"/>
            <w:tcMar>
              <w:top w:w="35" w:type="dxa"/>
              <w:start w:w="32" w:type="dxa"/>
              <w:bottom w:w="35" w:type="dxa"/>
              <w:end w:w="32" w:type="dxa"/>
            </w:tcMar>
          </w:tcPr>
          <w:p>
            <w:pPr>
              <w:jc w:val="left"/>
            </w:pPr>
            <w:r>
              <w:rPr>
                <w:rFonts w:ascii="Times New Roman" w:hAnsi="Times New Roman" w:eastAsia="Noto Serif CJK SC" w:cs="Times New Roman"/>
                <w:b w:val="0"/>
                <w:sz w:val="15"/>
              </w:rPr>
              <w:t>TSRS</w:t>
            </w:r>
          </w:p>
        </w:tc>
        <w:tc>
          <w:tcPr>
            <w:tcW w:type="dxa" w:w="2880"/>
            <w:tcMar>
              <w:top w:w="35" w:type="dxa"/>
              <w:start w:w="32" w:type="dxa"/>
              <w:bottom w:w="35" w:type="dxa"/>
              <w:end w:w="32" w:type="dxa"/>
            </w:tcMar>
          </w:tcPr>
          <w:p>
            <w:pPr>
              <w:jc w:val="center"/>
            </w:pPr>
            <w:r>
              <w:rPr>
                <w:rFonts w:ascii="Times New Roman" w:hAnsi="Times New Roman" w:eastAsia="Noto Serif CJK SC" w:cs="Times New Roman"/>
                <w:b w:val="0"/>
                <w:sz w:val="15"/>
              </w:rPr>
              <w:t>nnU-Net（匹配对照）</w:t>
            </w:r>
          </w:p>
        </w:tc>
        <w:tc>
          <w:tcPr>
            <w:tcW w:type="dxa" w:w="1152"/>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152"/>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440"/>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296"/>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296"/>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r>
      <w:tr>
        <w:trPr>
          <w:cantSplit/>
        </w:trPr>
        <w:tc>
          <w:tcPr>
            <w:tcW w:type="dxa" w:w="1440"/>
            <w:tcMar>
              <w:top w:w="35" w:type="dxa"/>
              <w:start w:w="32" w:type="dxa"/>
              <w:bottom w:w="35" w:type="dxa"/>
              <w:end w:w="32" w:type="dxa"/>
            </w:tcMar>
          </w:tcPr>
          <w:p>
            <w:pPr>
              <w:jc w:val="left"/>
            </w:pPr>
            <w:r>
              <w:rPr>
                <w:rFonts w:ascii="Times New Roman" w:hAnsi="Times New Roman" w:eastAsia="Noto Serif CJK SC" w:cs="Times New Roman"/>
                <w:b w:val="0"/>
                <w:sz w:val="15"/>
              </w:rPr>
              <w:t>TSRS</w:t>
            </w:r>
          </w:p>
        </w:tc>
        <w:tc>
          <w:tcPr>
            <w:tcW w:type="dxa" w:w="2880"/>
            <w:tcMar>
              <w:top w:w="35" w:type="dxa"/>
              <w:start w:w="32" w:type="dxa"/>
              <w:bottom w:w="35" w:type="dxa"/>
              <w:end w:w="32" w:type="dxa"/>
            </w:tcMar>
          </w:tcPr>
          <w:p>
            <w:pPr>
              <w:jc w:val="center"/>
            </w:pPr>
            <w:r>
              <w:rPr>
                <w:rFonts w:ascii="Times New Roman" w:hAnsi="Times New Roman" w:eastAsia="Noto Serif CJK SC" w:cs="Times New Roman"/>
                <w:b w:val="0"/>
                <w:sz w:val="15"/>
              </w:rPr>
              <w:t>DualPriorSeg + nnU-Net</w:t>
            </w:r>
          </w:p>
        </w:tc>
        <w:tc>
          <w:tcPr>
            <w:tcW w:type="dxa" w:w="1152"/>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152"/>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440"/>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296"/>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296"/>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r>
      <w:tr>
        <w:trPr>
          <w:cantSplit/>
        </w:trPr>
        <w:tc>
          <w:tcPr>
            <w:tcW w:type="dxa" w:w="1440"/>
            <w:tcMar>
              <w:top w:w="35" w:type="dxa"/>
              <w:start w:w="32" w:type="dxa"/>
              <w:bottom w:w="35" w:type="dxa"/>
              <w:end w:w="32" w:type="dxa"/>
            </w:tcMar>
          </w:tcPr>
          <w:p>
            <w:pPr>
              <w:jc w:val="left"/>
            </w:pPr>
            <w:r>
              <w:rPr>
                <w:rFonts w:ascii="Times New Roman" w:hAnsi="Times New Roman" w:eastAsia="Noto Serif CJK SC" w:cs="Times New Roman"/>
                <w:b w:val="0"/>
                <w:sz w:val="15"/>
              </w:rPr>
              <w:t>RAM-W600</w:t>
            </w:r>
          </w:p>
        </w:tc>
        <w:tc>
          <w:tcPr>
            <w:tcW w:type="dxa" w:w="2880"/>
            <w:tcMar>
              <w:top w:w="35" w:type="dxa"/>
              <w:start w:w="32" w:type="dxa"/>
              <w:bottom w:w="35" w:type="dxa"/>
              <w:end w:w="32" w:type="dxa"/>
            </w:tcMar>
          </w:tcPr>
          <w:p>
            <w:pPr>
              <w:jc w:val="center"/>
            </w:pPr>
            <w:r>
              <w:rPr>
                <w:rFonts w:ascii="Times New Roman" w:hAnsi="Times New Roman" w:eastAsia="Noto Serif CJK SC" w:cs="Times New Roman"/>
                <w:b w:val="0"/>
                <w:sz w:val="15"/>
              </w:rPr>
              <w:t>nnU-Net（匹配对照）</w:t>
            </w:r>
          </w:p>
        </w:tc>
        <w:tc>
          <w:tcPr>
            <w:tcW w:type="dxa" w:w="1152"/>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152"/>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440"/>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296"/>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296"/>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r>
      <w:tr>
        <w:trPr>
          <w:cantSplit/>
        </w:trPr>
        <w:tc>
          <w:tcPr>
            <w:tcW w:type="dxa" w:w="1440"/>
            <w:tcMar>
              <w:top w:w="35" w:type="dxa"/>
              <w:start w:w="32" w:type="dxa"/>
              <w:bottom w:w="35" w:type="dxa"/>
              <w:end w:w="32" w:type="dxa"/>
            </w:tcMar>
          </w:tcPr>
          <w:p>
            <w:pPr>
              <w:jc w:val="left"/>
            </w:pPr>
            <w:r>
              <w:rPr>
                <w:rFonts w:ascii="Times New Roman" w:hAnsi="Times New Roman" w:eastAsia="Noto Serif CJK SC" w:cs="Times New Roman"/>
                <w:b w:val="0"/>
                <w:sz w:val="15"/>
              </w:rPr>
              <w:t>RAM-W600</w:t>
            </w:r>
          </w:p>
        </w:tc>
        <w:tc>
          <w:tcPr>
            <w:tcW w:type="dxa" w:w="2880"/>
            <w:tcMar>
              <w:top w:w="35" w:type="dxa"/>
              <w:start w:w="32" w:type="dxa"/>
              <w:bottom w:w="35" w:type="dxa"/>
              <w:end w:w="32" w:type="dxa"/>
            </w:tcMar>
          </w:tcPr>
          <w:p>
            <w:pPr>
              <w:jc w:val="center"/>
            </w:pPr>
            <w:r>
              <w:rPr>
                <w:rFonts w:ascii="Times New Roman" w:hAnsi="Times New Roman" w:eastAsia="Noto Serif CJK SC" w:cs="Times New Roman"/>
                <w:b w:val="0"/>
                <w:sz w:val="15"/>
              </w:rPr>
              <w:t>DualPriorSeg + nnU-Net</w:t>
            </w:r>
          </w:p>
        </w:tc>
        <w:tc>
          <w:tcPr>
            <w:tcW w:type="dxa" w:w="1152"/>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152"/>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440"/>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296"/>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296"/>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r>
    </w:tbl>
    <w:p>
      <w:pPr>
        <w:spacing w:before="20" w:after="60"/>
        <w:jc w:val="both"/>
      </w:pPr>
      <w:r>
        <w:rPr>
          <w:rFonts w:ascii="Times New Roman" w:hAnsi="Times New Roman" w:eastAsia="Noto Serif CJK SC" w:cs="Times New Roman"/>
          <w:b w:val="0"/>
          <w:i w:val="0"/>
          <w:sz w:val="15"/>
        </w:rPr>
        <w:t>对于 TSRS，最终详细表格还应报告 Precision、Recall、Boundary IoU/F1、Surface Dice 2/5 px、HD95 和 ASSD；对于 RAM-W600，应严格按官方基准定义报告 DSC/NSD/VOE/MSD/RAVD。</w:t>
      </w:r>
    </w:p>
    <w:p>
      <w:pPr>
        <w:sectPr>
          <w:type w:val="continuous"/>
          <w:pgSz w:w="12240" w:h="15840"/>
          <w:pgMar w:top="922" w:right="965" w:bottom="893" w:left="965" w:header="360" w:footer="360" w:gutter="0"/>
          <w:cols w:space="280" w:num="1"/>
          <w:docGrid w:linePitch="360"/>
        </w:sectPr>
      </w:pPr>
    </w:p>
    <w:p>
      <w:pPr>
        <w:keepNext/>
        <w:spacing w:before="100" w:after="30"/>
        <w:jc w:val="center"/>
      </w:pPr>
      <w:r>
        <w:rPr>
          <w:rFonts w:ascii="Times New Roman" w:hAnsi="Times New Roman" w:eastAsia="Noto Sans CJK SC" w:cs="Times New Roman"/>
          <w:b/>
          <w:i w:val="0"/>
          <w:sz w:val="22"/>
        </w:rPr>
        <w:t>主要结果</w:t>
      </w:r>
    </w:p>
    <w:p>
      <w:pPr>
        <w:pStyle w:val="BodyText"/>
        <w:keepLines w:val="0"/>
        <w:spacing w:after="0" w:before="0" w:line="240" w:lineRule="auto"/>
        <w:ind w:firstLine="230"/>
        <w:jc w:val="both"/>
      </w:pPr>
      <w:r>
        <w:rPr>
          <w:rFonts w:ascii="Times New Roman" w:hAnsi="Times New Roman" w:eastAsia="Noto Serif CJK SC" w:cs="Times New Roman"/>
          <w:b w:val="0"/>
          <w:i w:val="0"/>
          <w:sz w:val="18"/>
        </w:rPr>
        <w:t>表1总结了两个数据集上的主要比较结果。在 TSRS 上，DualPriorSeg 将全局重叠指标由</w:t>
      </w:r>
      <w:r>
        <w:rPr>
          <w:rFonts w:ascii="Times New Roman" w:hAnsi="Times New Roman" w:eastAsia="Noto Serif CJK SC" w:cs="Times New Roman"/>
          <w:b/>
          <w:i w:val="0"/>
          <w:color w:val="C00000"/>
          <w:sz w:val="18"/>
        </w:rPr>
        <w:t>[待补充]</w:t>
      </w:r>
      <w:r>
        <w:rPr>
          <w:rFonts w:ascii="Times New Roman" w:hAnsi="Times New Roman" w:eastAsia="Noto Serif CJK SC" w:cs="Times New Roman"/>
          <w:b w:val="0"/>
          <w:i w:val="0"/>
          <w:sz w:val="18"/>
        </w:rPr>
        <w:t>提升/调整至</w:t>
      </w:r>
      <w:r>
        <w:rPr>
          <w:rFonts w:ascii="Times New Roman" w:hAnsi="Times New Roman" w:eastAsia="Noto Serif CJK SC" w:cs="Times New Roman"/>
          <w:b/>
          <w:i w:val="0"/>
          <w:color w:val="C00000"/>
          <w:sz w:val="18"/>
        </w:rPr>
        <w:t>[待补充]</w:t>
      </w:r>
      <w:r>
        <w:rPr>
          <w:rFonts w:ascii="Times New Roman" w:hAnsi="Times New Roman" w:eastAsia="Noto Serif CJK SC" w:cs="Times New Roman"/>
          <w:b w:val="0"/>
          <w:i w:val="0"/>
          <w:sz w:val="18"/>
        </w:rPr>
        <w:t>，同时边界/表面指标改善</w:t>
      </w:r>
      <w:r>
        <w:rPr>
          <w:rFonts w:ascii="Times New Roman" w:hAnsi="Times New Roman" w:eastAsia="Noto Serif CJK SC" w:cs="Times New Roman"/>
          <w:b/>
          <w:i w:val="0"/>
          <w:color w:val="C00000"/>
          <w:sz w:val="18"/>
        </w:rPr>
        <w:t>[待补充]</w:t>
      </w:r>
      <w:r>
        <w:rPr>
          <w:rFonts w:ascii="Times New Roman" w:hAnsi="Times New Roman" w:eastAsia="Noto Serif CJK SC" w:cs="Times New Roman"/>
          <w:b w:val="0"/>
          <w:i w:val="0"/>
          <w:sz w:val="18"/>
        </w:rPr>
        <w:t>。由于骨缝先验只作用于图像中的小部分像素，预期骨缝敏感的轮廓指标会比全局 Dice 表现出更明显的增益。在 RAM-W600 上，本方法达到</w:t>
      </w:r>
      <w:r>
        <w:rPr>
          <w:rFonts w:ascii="Times New Roman" w:hAnsi="Times New Roman" w:eastAsia="Noto Serif CJK SC" w:cs="Times New Roman"/>
          <w:b/>
          <w:i w:val="0"/>
          <w:color w:val="C00000"/>
          <w:sz w:val="18"/>
        </w:rPr>
        <w:t>[待补充]</w:t>
      </w:r>
      <w:r>
        <w:rPr>
          <w:rFonts w:ascii="Times New Roman" w:hAnsi="Times New Roman" w:eastAsia="Noto Serif CJK SC" w:cs="Times New Roman"/>
          <w:b w:val="0"/>
          <w:i w:val="0"/>
          <w:sz w:val="18"/>
        </w:rPr>
        <w:t xml:space="preserve"> DSC 和</w:t>
      </w:r>
      <w:r>
        <w:rPr>
          <w:rFonts w:ascii="Times New Roman" w:hAnsi="Times New Roman" w:eastAsia="Noto Serif CJK SC" w:cs="Times New Roman"/>
          <w:b/>
          <w:i w:val="0"/>
          <w:color w:val="C00000"/>
          <w:sz w:val="18"/>
        </w:rPr>
        <w:t>[待补充]</w:t>
      </w:r>
      <w:r>
        <w:rPr>
          <w:rFonts w:ascii="Times New Roman" w:hAnsi="Times New Roman" w:eastAsia="Noto Serif CJK SC" w:cs="Times New Roman"/>
          <w:b w:val="0"/>
          <w:i w:val="0"/>
          <w:sz w:val="18"/>
        </w:rPr>
        <w:t xml:space="preserve"> NSD，并将 MSD 从</w:t>
      </w:r>
      <w:r>
        <w:rPr>
          <w:rFonts w:ascii="Times New Roman" w:hAnsi="Times New Roman" w:eastAsia="Noto Serif CJK SC" w:cs="Times New Roman"/>
          <w:b/>
          <w:i w:val="0"/>
          <w:color w:val="C00000"/>
          <w:sz w:val="18"/>
        </w:rPr>
        <w:t>[待补充]</w:t>
      </w:r>
      <w:r>
        <w:rPr>
          <w:rFonts w:ascii="Times New Roman" w:hAnsi="Times New Roman" w:eastAsia="Noto Serif CJK SC" w:cs="Times New Roman"/>
          <w:b w:val="0"/>
          <w:i w:val="0"/>
          <w:sz w:val="18"/>
        </w:rPr>
        <w:t>降低至</w:t>
      </w:r>
      <w:r>
        <w:rPr>
          <w:rFonts w:ascii="Times New Roman" w:hAnsi="Times New Roman" w:eastAsia="Noto Serif CJK SC" w:cs="Times New Roman"/>
          <w:b/>
          <w:i w:val="0"/>
          <w:color w:val="C00000"/>
          <w:sz w:val="18"/>
        </w:rPr>
        <w:t>[待补充]</w:t>
      </w:r>
      <w:r>
        <w:rPr>
          <w:rFonts w:ascii="Times New Roman" w:hAnsi="Times New Roman" w:eastAsia="Noto Serif CJK SC" w:cs="Times New Roman"/>
          <w:b w:val="0"/>
          <w:i w:val="0"/>
          <w:sz w:val="18"/>
        </w:rPr>
        <w:t>。最终表述将依据正式官方测试结果，而不是依据早期验证 pilot。</w:t>
      </w:r>
    </w:p>
    <w:p>
      <w:pPr>
        <w:pStyle w:val="BodyText"/>
        <w:keepLines w:val="0"/>
        <w:spacing w:after="0" w:before="0" w:line="240" w:lineRule="auto"/>
        <w:ind w:firstLine="230"/>
        <w:jc w:val="both"/>
      </w:pPr>
      <w:r>
        <w:rPr>
          <w:rFonts w:ascii="Times New Roman" w:hAnsi="Times New Roman" w:eastAsia="Noto Serif CJK SC" w:cs="Times New Roman"/>
          <w:b w:val="0"/>
          <w:i w:val="0"/>
          <w:sz w:val="18"/>
        </w:rPr>
        <w:t>本文关注的核心并非要求每一项指标都出现大幅提升，而是检验结构模块能否在保持强基础分割性能的同时产生可复现增益。因此，我们报告完整的标准指标集合，而不是只挑选最有利的部分；同时，实验 manifest 中的每一行结果均绑定到单一 checkpoint epoch 与对应的 SHA-256 哈希。</w:t>
      </w:r>
    </w:p>
    <w:p>
      <w:pPr>
        <w:sectPr>
          <w:type w:val="continuous"/>
          <w:pgSz w:w="12240" w:h="15840"/>
          <w:pgMar w:top="922" w:right="965" w:bottom="893" w:left="965" w:header="360" w:footer="360" w:gutter="0"/>
          <w:cols w:space="280" w:num="2"/>
          <w:docGrid w:linePitch="360"/>
        </w:sectPr>
      </w:pPr>
    </w:p>
    <w:p>
      <w:pPr>
        <w:spacing w:before="40" w:after="40"/>
        <w:jc w:val="center"/>
      </w:pPr>
      <w:r>
        <w:rPr>
          <w:rFonts w:ascii="Times New Roman" w:hAnsi="Times New Roman" w:eastAsia="Noto Serif CJK SC" w:cs="Times New Roman"/>
          <w:b w:val="0"/>
          <w:i w:val="0"/>
          <w:sz w:val="17"/>
        </w:rPr>
        <w:t>表2：nnU-Net 上两个结构先验的消融实验。每一行必须使用同一个原生 checkpoint 和完全匹配的训练调度。</w:t>
      </w:r>
    </w:p>
    <w:tbl>
      <w:tblPr>
        <w:tblW w:type="auto" w:w="0"/>
        <w:jc w:val="center"/>
        <w:tblLayout w:type="fixed"/>
        <w:tblLook w:firstColumn="1" w:firstRow="1" w:lastColumn="0" w:lastRow="0" w:noHBand="0" w:noVBand="1" w:val="04A0"/>
      </w:tblPr>
      <w:tblGrid>
        <w:gridCol w:w="1473"/>
        <w:gridCol w:w="1473"/>
        <w:gridCol w:w="1473"/>
        <w:gridCol w:w="1473"/>
        <w:gridCol w:w="1473"/>
        <w:gridCol w:w="1473"/>
        <w:gridCol w:w="1473"/>
      </w:tblGrid>
      <w:tr>
        <w:trPr>
          <w:tblHeader w:val="true"/>
          <w:cantSplit/>
        </w:trPr>
        <w:tc>
          <w:tcPr>
            <w:tcW w:type="dxa" w:w="936"/>
            <w:shd w:fill="EAEAEA"/>
            <w:tcMar>
              <w:top w:w="45" w:type="dxa"/>
              <w:start w:w="35" w:type="dxa"/>
              <w:bottom w:w="45" w:type="dxa"/>
              <w:end w:w="35" w:type="dxa"/>
            </w:tcMar>
          </w:tcPr>
          <w:p>
            <w:pPr>
              <w:jc w:val="center"/>
            </w:pPr>
            <w:r>
              <w:rPr>
                <w:rFonts w:ascii="Times New Roman" w:hAnsi="Times New Roman" w:eastAsia="Noto Serif CJK SC" w:cs="Times New Roman"/>
                <w:b/>
                <w:sz w:val="15"/>
              </w:rPr>
              <w:t>数据集</w:t>
            </w:r>
          </w:p>
        </w:tc>
        <w:tc>
          <w:tcPr>
            <w:tcW w:type="dxa" w:w="1800"/>
            <w:shd w:fill="EAEAEA"/>
            <w:tcMar>
              <w:top w:w="45" w:type="dxa"/>
              <w:start w:w="35" w:type="dxa"/>
              <w:bottom w:w="45" w:type="dxa"/>
              <w:end w:w="35" w:type="dxa"/>
            </w:tcMar>
          </w:tcPr>
          <w:p>
            <w:pPr>
              <w:jc w:val="center"/>
            </w:pPr>
            <w:r>
              <w:rPr>
                <w:rFonts w:ascii="Times New Roman" w:hAnsi="Times New Roman" w:eastAsia="Noto Serif CJK SC" w:cs="Times New Roman"/>
                <w:b/>
                <w:sz w:val="15"/>
              </w:rPr>
              <w:t>变体</w:t>
            </w:r>
          </w:p>
        </w:tc>
        <w:tc>
          <w:tcPr>
            <w:tcW w:type="dxa" w:w="1080"/>
            <w:shd w:fill="EAEAEA"/>
            <w:tcMar>
              <w:top w:w="45" w:type="dxa"/>
              <w:start w:w="35" w:type="dxa"/>
              <w:bottom w:w="45" w:type="dxa"/>
              <w:end w:w="35" w:type="dxa"/>
            </w:tcMar>
          </w:tcPr>
          <w:p>
            <w:pPr>
              <w:jc w:val="center"/>
            </w:pPr>
            <w:r>
              <w:rPr>
                <w:rFonts w:ascii="Times New Roman" w:hAnsi="Times New Roman" w:eastAsia="Noto Serif CJK SC" w:cs="Times New Roman"/>
                <w:b/>
                <w:sz w:val="15"/>
              </w:rPr>
              <w:t>骨缝输入</w:t>
            </w:r>
          </w:p>
        </w:tc>
        <w:tc>
          <w:tcPr>
            <w:tcW w:type="dxa" w:w="1181"/>
            <w:shd w:fill="EAEAEA"/>
            <w:tcMar>
              <w:top w:w="45" w:type="dxa"/>
              <w:start w:w="35" w:type="dxa"/>
              <w:bottom w:w="45" w:type="dxa"/>
              <w:end w:w="35" w:type="dxa"/>
            </w:tcMar>
          </w:tcPr>
          <w:p>
            <w:pPr>
              <w:jc w:val="center"/>
            </w:pPr>
            <w:r>
              <w:rPr>
                <w:rFonts w:ascii="Times New Roman" w:hAnsi="Times New Roman" w:eastAsia="Noto Serif CJK SC" w:cs="Times New Roman"/>
                <w:b/>
                <w:sz w:val="15"/>
              </w:rPr>
              <w:t>重叠输出</w:t>
            </w:r>
          </w:p>
        </w:tc>
        <w:tc>
          <w:tcPr>
            <w:tcW w:type="dxa" w:w="1944"/>
            <w:shd w:fill="EAEAEA"/>
            <w:tcMar>
              <w:top w:w="45" w:type="dxa"/>
              <w:start w:w="35" w:type="dxa"/>
              <w:bottom w:w="45" w:type="dxa"/>
              <w:end w:w="35" w:type="dxa"/>
            </w:tcMar>
          </w:tcPr>
          <w:p>
            <w:pPr>
              <w:jc w:val="center"/>
            </w:pPr>
            <w:r>
              <w:rPr>
                <w:rFonts w:ascii="Times New Roman" w:hAnsi="Times New Roman" w:eastAsia="Noto Serif CJK SC" w:cs="Times New Roman"/>
                <w:b/>
                <w:sz w:val="15"/>
              </w:rPr>
              <w:t>主要重叠指标</w:t>
            </w:r>
          </w:p>
        </w:tc>
        <w:tc>
          <w:tcPr>
            <w:tcW w:type="dxa" w:w="1944"/>
            <w:shd w:fill="EAEAEA"/>
            <w:tcMar>
              <w:top w:w="45" w:type="dxa"/>
              <w:start w:w="35" w:type="dxa"/>
              <w:bottom w:w="45" w:type="dxa"/>
              <w:end w:w="35" w:type="dxa"/>
            </w:tcMar>
          </w:tcPr>
          <w:p>
            <w:pPr>
              <w:jc w:val="center"/>
            </w:pPr>
            <w:r>
              <w:rPr>
                <w:rFonts w:ascii="Times New Roman" w:hAnsi="Times New Roman" w:eastAsia="Noto Serif CJK SC" w:cs="Times New Roman"/>
                <w:b/>
                <w:sz w:val="15"/>
              </w:rPr>
              <w:t>边界/表面指标</w:t>
            </w:r>
          </w:p>
        </w:tc>
        <w:tc>
          <w:tcPr>
            <w:tcW w:type="dxa" w:w="1440"/>
            <w:shd w:fill="EAEAEA"/>
            <w:tcMar>
              <w:top w:w="45" w:type="dxa"/>
              <w:start w:w="35" w:type="dxa"/>
              <w:bottom w:w="45" w:type="dxa"/>
              <w:end w:w="35" w:type="dxa"/>
            </w:tcMar>
          </w:tcPr>
          <w:p>
            <w:pPr>
              <w:jc w:val="center"/>
            </w:pPr>
            <w:r>
              <w:rPr>
                <w:rFonts w:ascii="Times New Roman" w:hAnsi="Times New Roman" w:eastAsia="Noto Serif CJK SC" w:cs="Times New Roman"/>
                <w:b/>
                <w:sz w:val="15"/>
              </w:rPr>
              <w:t>相对匹配基线 Δ</w:t>
            </w:r>
          </w:p>
        </w:tc>
      </w:tr>
      <w:tr>
        <w:trPr>
          <w:cantSplit/>
        </w:trPr>
        <w:tc>
          <w:tcPr>
            <w:tcW w:type="dxa" w:w="936"/>
            <w:tcMar>
              <w:top w:w="35" w:type="dxa"/>
              <w:start w:w="32" w:type="dxa"/>
              <w:bottom w:w="35" w:type="dxa"/>
              <w:end w:w="32" w:type="dxa"/>
            </w:tcMar>
          </w:tcPr>
          <w:p>
            <w:pPr>
              <w:jc w:val="left"/>
            </w:pPr>
            <w:r>
              <w:rPr>
                <w:rFonts w:ascii="Times New Roman" w:hAnsi="Times New Roman" w:eastAsia="Noto Serif CJK SC" w:cs="Times New Roman"/>
                <w:b w:val="0"/>
                <w:sz w:val="15"/>
              </w:rPr>
              <w:t>TSRS</w:t>
            </w:r>
          </w:p>
        </w:tc>
        <w:tc>
          <w:tcPr>
            <w:tcW w:type="dxa" w:w="1800"/>
            <w:tcMar>
              <w:top w:w="35" w:type="dxa"/>
              <w:start w:w="32" w:type="dxa"/>
              <w:bottom w:w="35" w:type="dxa"/>
              <w:end w:w="32" w:type="dxa"/>
            </w:tcMar>
          </w:tcPr>
          <w:p>
            <w:pPr>
              <w:jc w:val="center"/>
            </w:pPr>
            <w:r>
              <w:rPr>
                <w:rFonts w:ascii="Times New Roman" w:hAnsi="Times New Roman" w:eastAsia="Noto Serif CJK SC" w:cs="Times New Roman"/>
                <w:b w:val="0"/>
                <w:sz w:val="15"/>
              </w:rPr>
              <w:t>Native-Continue</w:t>
            </w:r>
          </w:p>
        </w:tc>
        <w:tc>
          <w:tcPr>
            <w:tcW w:type="dxa" w:w="1080"/>
            <w:tcMar>
              <w:top w:w="35" w:type="dxa"/>
              <w:start w:w="32" w:type="dxa"/>
              <w:bottom w:w="35" w:type="dxa"/>
              <w:end w:w="32" w:type="dxa"/>
            </w:tcMar>
          </w:tcPr>
          <w:p>
            <w:pPr>
              <w:jc w:val="center"/>
            </w:pPr>
            <w:r>
              <w:rPr>
                <w:rFonts w:ascii="Times New Roman" w:hAnsi="Times New Roman" w:eastAsia="Noto Serif CJK SC" w:cs="Times New Roman"/>
                <w:b w:val="0"/>
                <w:sz w:val="15"/>
              </w:rPr>
              <w:t>–</w:t>
            </w:r>
          </w:p>
        </w:tc>
        <w:tc>
          <w:tcPr>
            <w:tcW w:type="dxa" w:w="1181"/>
            <w:tcMar>
              <w:top w:w="35" w:type="dxa"/>
              <w:start w:w="32" w:type="dxa"/>
              <w:bottom w:w="35" w:type="dxa"/>
              <w:end w:w="32" w:type="dxa"/>
            </w:tcMar>
          </w:tcPr>
          <w:p>
            <w:pPr>
              <w:jc w:val="center"/>
            </w:pPr>
            <w:r>
              <w:rPr>
                <w:rFonts w:ascii="Times New Roman" w:hAnsi="Times New Roman" w:eastAsia="Noto Serif CJK SC" w:cs="Times New Roman"/>
                <w:b w:val="0"/>
                <w:sz w:val="15"/>
              </w:rPr>
              <w:t>–</w:t>
            </w:r>
          </w:p>
        </w:tc>
        <w:tc>
          <w:tcPr>
            <w:tcW w:type="dxa" w:w="1944"/>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944"/>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440"/>
            <w:tcMar>
              <w:top w:w="35" w:type="dxa"/>
              <w:start w:w="32" w:type="dxa"/>
              <w:bottom w:w="35" w:type="dxa"/>
              <w:end w:w="32" w:type="dxa"/>
            </w:tcMar>
          </w:tcPr>
          <w:p>
            <w:pPr>
              <w:jc w:val="center"/>
            </w:pPr>
            <w:r>
              <w:rPr>
                <w:rFonts w:ascii="Times New Roman" w:hAnsi="Times New Roman" w:eastAsia="Noto Serif CJK SC" w:cs="Times New Roman"/>
                <w:b w:val="0"/>
                <w:sz w:val="15"/>
              </w:rPr>
              <w:t>–</w:t>
            </w:r>
          </w:p>
        </w:tc>
      </w:tr>
      <w:tr>
        <w:trPr>
          <w:cantSplit/>
        </w:trPr>
        <w:tc>
          <w:tcPr>
            <w:tcW w:type="dxa" w:w="936"/>
            <w:tcMar>
              <w:top w:w="35" w:type="dxa"/>
              <w:start w:w="32" w:type="dxa"/>
              <w:bottom w:w="35" w:type="dxa"/>
              <w:end w:w="32" w:type="dxa"/>
            </w:tcMar>
          </w:tcPr>
          <w:p>
            <w:pPr>
              <w:jc w:val="left"/>
            </w:pPr>
            <w:r>
              <w:rPr>
                <w:rFonts w:ascii="Times New Roman" w:hAnsi="Times New Roman" w:eastAsia="Noto Serif CJK SC" w:cs="Times New Roman"/>
                <w:b w:val="0"/>
                <w:sz w:val="15"/>
              </w:rPr>
              <w:t>TSRS</w:t>
            </w:r>
          </w:p>
        </w:tc>
        <w:tc>
          <w:tcPr>
            <w:tcW w:type="dxa" w:w="1800"/>
            <w:tcMar>
              <w:top w:w="35" w:type="dxa"/>
              <w:start w:w="32" w:type="dxa"/>
              <w:bottom w:w="35" w:type="dxa"/>
              <w:end w:w="32" w:type="dxa"/>
            </w:tcMar>
          </w:tcPr>
          <w:p>
            <w:pPr>
              <w:jc w:val="center"/>
            </w:pPr>
            <w:r>
              <w:rPr>
                <w:rFonts w:ascii="Times New Roman" w:hAnsi="Times New Roman" w:eastAsia="Noto Serif CJK SC" w:cs="Times New Roman"/>
                <w:b w:val="0"/>
                <w:sz w:val="15"/>
              </w:rPr>
              <w:t>Seam-Only</w:t>
            </w:r>
          </w:p>
        </w:tc>
        <w:tc>
          <w:tcPr>
            <w:tcW w:type="dxa" w:w="1080"/>
            <w:tcMar>
              <w:top w:w="35" w:type="dxa"/>
              <w:start w:w="32" w:type="dxa"/>
              <w:bottom w:w="35" w:type="dxa"/>
              <w:end w:w="32" w:type="dxa"/>
            </w:tcMar>
          </w:tcPr>
          <w:p>
            <w:pPr>
              <w:jc w:val="center"/>
            </w:pPr>
            <w:r>
              <w:rPr>
                <w:rFonts w:ascii="Times New Roman" w:hAnsi="Times New Roman" w:eastAsia="Noto Serif CJK SC" w:cs="Times New Roman"/>
                <w:b w:val="0"/>
                <w:sz w:val="15"/>
              </w:rPr>
              <w:t>✓</w:t>
            </w:r>
          </w:p>
        </w:tc>
        <w:tc>
          <w:tcPr>
            <w:tcW w:type="dxa" w:w="1181"/>
            <w:tcMar>
              <w:top w:w="35" w:type="dxa"/>
              <w:start w:w="32" w:type="dxa"/>
              <w:bottom w:w="35" w:type="dxa"/>
              <w:end w:w="32" w:type="dxa"/>
            </w:tcMar>
          </w:tcPr>
          <w:p>
            <w:pPr>
              <w:jc w:val="center"/>
            </w:pPr>
            <w:r>
              <w:rPr>
                <w:rFonts w:ascii="Times New Roman" w:hAnsi="Times New Roman" w:eastAsia="Noto Serif CJK SC" w:cs="Times New Roman"/>
                <w:b w:val="0"/>
                <w:sz w:val="15"/>
              </w:rPr>
              <w:t>–</w:t>
            </w:r>
          </w:p>
        </w:tc>
        <w:tc>
          <w:tcPr>
            <w:tcW w:type="dxa" w:w="1944"/>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944"/>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440"/>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r>
      <w:tr>
        <w:trPr>
          <w:cantSplit/>
        </w:trPr>
        <w:tc>
          <w:tcPr>
            <w:tcW w:type="dxa" w:w="936"/>
            <w:tcMar>
              <w:top w:w="35" w:type="dxa"/>
              <w:start w:w="32" w:type="dxa"/>
              <w:bottom w:w="35" w:type="dxa"/>
              <w:end w:w="32" w:type="dxa"/>
            </w:tcMar>
          </w:tcPr>
          <w:p>
            <w:pPr>
              <w:jc w:val="left"/>
            </w:pPr>
            <w:r>
              <w:rPr>
                <w:rFonts w:ascii="Times New Roman" w:hAnsi="Times New Roman" w:eastAsia="Noto Serif CJK SC" w:cs="Times New Roman"/>
                <w:b w:val="0"/>
                <w:sz w:val="15"/>
              </w:rPr>
              <w:t>TSRS</w:t>
            </w:r>
          </w:p>
        </w:tc>
        <w:tc>
          <w:tcPr>
            <w:tcW w:type="dxa" w:w="1800"/>
            <w:tcMar>
              <w:top w:w="35" w:type="dxa"/>
              <w:start w:w="32" w:type="dxa"/>
              <w:bottom w:w="35" w:type="dxa"/>
              <w:end w:w="32" w:type="dxa"/>
            </w:tcMar>
          </w:tcPr>
          <w:p>
            <w:pPr>
              <w:jc w:val="center"/>
            </w:pPr>
            <w:r>
              <w:rPr>
                <w:rFonts w:ascii="Times New Roman" w:hAnsi="Times New Roman" w:eastAsia="Noto Serif CJK SC" w:cs="Times New Roman"/>
                <w:b w:val="0"/>
                <w:sz w:val="15"/>
              </w:rPr>
              <w:t>Overlap-Only</w:t>
            </w:r>
          </w:p>
        </w:tc>
        <w:tc>
          <w:tcPr>
            <w:tcW w:type="dxa" w:w="1080"/>
            <w:tcMar>
              <w:top w:w="35" w:type="dxa"/>
              <w:start w:w="32" w:type="dxa"/>
              <w:bottom w:w="35" w:type="dxa"/>
              <w:end w:w="32" w:type="dxa"/>
            </w:tcMar>
          </w:tcPr>
          <w:p>
            <w:pPr>
              <w:jc w:val="center"/>
            </w:pPr>
            <w:r>
              <w:rPr>
                <w:rFonts w:ascii="Times New Roman" w:hAnsi="Times New Roman" w:eastAsia="Noto Serif CJK SC" w:cs="Times New Roman"/>
                <w:b w:val="0"/>
                <w:sz w:val="15"/>
              </w:rPr>
              <w:t>–</w:t>
            </w:r>
          </w:p>
        </w:tc>
        <w:tc>
          <w:tcPr>
            <w:tcW w:type="dxa" w:w="1181"/>
            <w:tcMar>
              <w:top w:w="35" w:type="dxa"/>
              <w:start w:w="32" w:type="dxa"/>
              <w:bottom w:w="35" w:type="dxa"/>
              <w:end w:w="32" w:type="dxa"/>
            </w:tcMar>
          </w:tcPr>
          <w:p>
            <w:pPr>
              <w:jc w:val="center"/>
            </w:pPr>
            <w:r>
              <w:rPr>
                <w:rFonts w:ascii="Times New Roman" w:hAnsi="Times New Roman" w:eastAsia="Noto Serif CJK SC" w:cs="Times New Roman"/>
                <w:b w:val="0"/>
                <w:sz w:val="15"/>
              </w:rPr>
              <w:t>✓</w:t>
            </w:r>
          </w:p>
        </w:tc>
        <w:tc>
          <w:tcPr>
            <w:tcW w:type="dxa" w:w="1944"/>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944"/>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440"/>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r>
      <w:tr>
        <w:trPr>
          <w:cantSplit/>
        </w:trPr>
        <w:tc>
          <w:tcPr>
            <w:tcW w:type="dxa" w:w="936"/>
            <w:tcMar>
              <w:top w:w="35" w:type="dxa"/>
              <w:start w:w="32" w:type="dxa"/>
              <w:bottom w:w="35" w:type="dxa"/>
              <w:end w:w="32" w:type="dxa"/>
            </w:tcMar>
          </w:tcPr>
          <w:p>
            <w:pPr>
              <w:jc w:val="left"/>
            </w:pPr>
            <w:r>
              <w:rPr>
                <w:rFonts w:ascii="Times New Roman" w:hAnsi="Times New Roman" w:eastAsia="Noto Serif CJK SC" w:cs="Times New Roman"/>
                <w:b w:val="0"/>
                <w:sz w:val="15"/>
              </w:rPr>
              <w:t>TSRS</w:t>
            </w:r>
          </w:p>
        </w:tc>
        <w:tc>
          <w:tcPr>
            <w:tcW w:type="dxa" w:w="1800"/>
            <w:tcMar>
              <w:top w:w="35" w:type="dxa"/>
              <w:start w:w="32" w:type="dxa"/>
              <w:bottom w:w="35" w:type="dxa"/>
              <w:end w:w="32" w:type="dxa"/>
            </w:tcMar>
          </w:tcPr>
          <w:p>
            <w:pPr>
              <w:jc w:val="center"/>
            </w:pPr>
            <w:r>
              <w:rPr>
                <w:rFonts w:ascii="Times New Roman" w:hAnsi="Times New Roman" w:eastAsia="Noto Serif CJK SC" w:cs="Times New Roman"/>
                <w:b w:val="0"/>
                <w:sz w:val="15"/>
              </w:rPr>
              <w:t>Dual-Prior</w:t>
            </w:r>
          </w:p>
        </w:tc>
        <w:tc>
          <w:tcPr>
            <w:tcW w:type="dxa" w:w="1080"/>
            <w:tcMar>
              <w:top w:w="35" w:type="dxa"/>
              <w:start w:w="32" w:type="dxa"/>
              <w:bottom w:w="35" w:type="dxa"/>
              <w:end w:w="32" w:type="dxa"/>
            </w:tcMar>
          </w:tcPr>
          <w:p>
            <w:pPr>
              <w:jc w:val="center"/>
            </w:pPr>
            <w:r>
              <w:rPr>
                <w:rFonts w:ascii="Times New Roman" w:hAnsi="Times New Roman" w:eastAsia="Noto Serif CJK SC" w:cs="Times New Roman"/>
                <w:b w:val="0"/>
                <w:sz w:val="15"/>
              </w:rPr>
              <w:t>✓</w:t>
            </w:r>
          </w:p>
        </w:tc>
        <w:tc>
          <w:tcPr>
            <w:tcW w:type="dxa" w:w="1181"/>
            <w:tcMar>
              <w:top w:w="35" w:type="dxa"/>
              <w:start w:w="32" w:type="dxa"/>
              <w:bottom w:w="35" w:type="dxa"/>
              <w:end w:w="32" w:type="dxa"/>
            </w:tcMar>
          </w:tcPr>
          <w:p>
            <w:pPr>
              <w:jc w:val="center"/>
            </w:pPr>
            <w:r>
              <w:rPr>
                <w:rFonts w:ascii="Times New Roman" w:hAnsi="Times New Roman" w:eastAsia="Noto Serif CJK SC" w:cs="Times New Roman"/>
                <w:b w:val="0"/>
                <w:sz w:val="15"/>
              </w:rPr>
              <w:t>✓</w:t>
            </w:r>
          </w:p>
        </w:tc>
        <w:tc>
          <w:tcPr>
            <w:tcW w:type="dxa" w:w="1944"/>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944"/>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440"/>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r>
      <w:tr>
        <w:trPr>
          <w:cantSplit/>
        </w:trPr>
        <w:tc>
          <w:tcPr>
            <w:tcW w:type="dxa" w:w="936"/>
            <w:tcMar>
              <w:top w:w="35" w:type="dxa"/>
              <w:start w:w="32" w:type="dxa"/>
              <w:bottom w:w="35" w:type="dxa"/>
              <w:end w:w="32" w:type="dxa"/>
            </w:tcMar>
          </w:tcPr>
          <w:p>
            <w:pPr>
              <w:jc w:val="left"/>
            </w:pPr>
            <w:r>
              <w:rPr>
                <w:rFonts w:ascii="Times New Roman" w:hAnsi="Times New Roman" w:eastAsia="Noto Serif CJK SC" w:cs="Times New Roman"/>
                <w:b w:val="0"/>
                <w:sz w:val="15"/>
              </w:rPr>
              <w:t>RAM</w:t>
            </w:r>
          </w:p>
        </w:tc>
        <w:tc>
          <w:tcPr>
            <w:tcW w:type="dxa" w:w="1800"/>
            <w:tcMar>
              <w:top w:w="35" w:type="dxa"/>
              <w:start w:w="32" w:type="dxa"/>
              <w:bottom w:w="35" w:type="dxa"/>
              <w:end w:w="32" w:type="dxa"/>
            </w:tcMar>
          </w:tcPr>
          <w:p>
            <w:pPr>
              <w:jc w:val="center"/>
            </w:pPr>
            <w:r>
              <w:rPr>
                <w:rFonts w:ascii="Times New Roman" w:hAnsi="Times New Roman" w:eastAsia="Noto Serif CJK SC" w:cs="Times New Roman"/>
                <w:b w:val="0"/>
                <w:sz w:val="15"/>
              </w:rPr>
              <w:t>Native-Continue</w:t>
            </w:r>
          </w:p>
        </w:tc>
        <w:tc>
          <w:tcPr>
            <w:tcW w:type="dxa" w:w="1080"/>
            <w:tcMar>
              <w:top w:w="35" w:type="dxa"/>
              <w:start w:w="32" w:type="dxa"/>
              <w:bottom w:w="35" w:type="dxa"/>
              <w:end w:w="32" w:type="dxa"/>
            </w:tcMar>
          </w:tcPr>
          <w:p>
            <w:pPr>
              <w:jc w:val="center"/>
            </w:pPr>
            <w:r>
              <w:rPr>
                <w:rFonts w:ascii="Times New Roman" w:hAnsi="Times New Roman" w:eastAsia="Noto Serif CJK SC" w:cs="Times New Roman"/>
                <w:b w:val="0"/>
                <w:sz w:val="15"/>
              </w:rPr>
              <w:t>–</w:t>
            </w:r>
          </w:p>
        </w:tc>
        <w:tc>
          <w:tcPr>
            <w:tcW w:type="dxa" w:w="1181"/>
            <w:tcMar>
              <w:top w:w="35" w:type="dxa"/>
              <w:start w:w="32" w:type="dxa"/>
              <w:bottom w:w="35" w:type="dxa"/>
              <w:end w:w="32" w:type="dxa"/>
            </w:tcMar>
          </w:tcPr>
          <w:p>
            <w:pPr>
              <w:jc w:val="center"/>
            </w:pPr>
            <w:r>
              <w:rPr>
                <w:rFonts w:ascii="Times New Roman" w:hAnsi="Times New Roman" w:eastAsia="Noto Serif CJK SC" w:cs="Times New Roman"/>
                <w:b w:val="0"/>
                <w:sz w:val="15"/>
              </w:rPr>
              <w:t>–</w:t>
            </w:r>
          </w:p>
        </w:tc>
        <w:tc>
          <w:tcPr>
            <w:tcW w:type="dxa" w:w="1944"/>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944"/>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440"/>
            <w:tcMar>
              <w:top w:w="35" w:type="dxa"/>
              <w:start w:w="32" w:type="dxa"/>
              <w:bottom w:w="35" w:type="dxa"/>
              <w:end w:w="32" w:type="dxa"/>
            </w:tcMar>
          </w:tcPr>
          <w:p>
            <w:pPr>
              <w:jc w:val="center"/>
            </w:pPr>
            <w:r>
              <w:rPr>
                <w:rFonts w:ascii="Times New Roman" w:hAnsi="Times New Roman" w:eastAsia="Noto Serif CJK SC" w:cs="Times New Roman"/>
                <w:b w:val="0"/>
                <w:sz w:val="15"/>
              </w:rPr>
              <w:t>–</w:t>
            </w:r>
          </w:p>
        </w:tc>
      </w:tr>
      <w:tr>
        <w:trPr>
          <w:cantSplit/>
        </w:trPr>
        <w:tc>
          <w:tcPr>
            <w:tcW w:type="dxa" w:w="936"/>
            <w:tcMar>
              <w:top w:w="35" w:type="dxa"/>
              <w:start w:w="32" w:type="dxa"/>
              <w:bottom w:w="35" w:type="dxa"/>
              <w:end w:w="32" w:type="dxa"/>
            </w:tcMar>
          </w:tcPr>
          <w:p>
            <w:pPr>
              <w:jc w:val="left"/>
            </w:pPr>
            <w:r>
              <w:rPr>
                <w:rFonts w:ascii="Times New Roman" w:hAnsi="Times New Roman" w:eastAsia="Noto Serif CJK SC" w:cs="Times New Roman"/>
                <w:b w:val="0"/>
                <w:sz w:val="15"/>
              </w:rPr>
              <w:t>RAM</w:t>
            </w:r>
          </w:p>
        </w:tc>
        <w:tc>
          <w:tcPr>
            <w:tcW w:type="dxa" w:w="1800"/>
            <w:tcMar>
              <w:top w:w="35" w:type="dxa"/>
              <w:start w:w="32" w:type="dxa"/>
              <w:bottom w:w="35" w:type="dxa"/>
              <w:end w:w="32" w:type="dxa"/>
            </w:tcMar>
          </w:tcPr>
          <w:p>
            <w:pPr>
              <w:jc w:val="center"/>
            </w:pPr>
            <w:r>
              <w:rPr>
                <w:rFonts w:ascii="Times New Roman" w:hAnsi="Times New Roman" w:eastAsia="Noto Serif CJK SC" w:cs="Times New Roman"/>
                <w:b w:val="0"/>
                <w:sz w:val="15"/>
              </w:rPr>
              <w:t>Seam-Only</w:t>
            </w:r>
          </w:p>
        </w:tc>
        <w:tc>
          <w:tcPr>
            <w:tcW w:type="dxa" w:w="1080"/>
            <w:tcMar>
              <w:top w:w="35" w:type="dxa"/>
              <w:start w:w="32" w:type="dxa"/>
              <w:bottom w:w="35" w:type="dxa"/>
              <w:end w:w="32" w:type="dxa"/>
            </w:tcMar>
          </w:tcPr>
          <w:p>
            <w:pPr>
              <w:jc w:val="center"/>
            </w:pPr>
            <w:r>
              <w:rPr>
                <w:rFonts w:ascii="Times New Roman" w:hAnsi="Times New Roman" w:eastAsia="Noto Serif CJK SC" w:cs="Times New Roman"/>
                <w:b w:val="0"/>
                <w:sz w:val="15"/>
              </w:rPr>
              <w:t>✓</w:t>
            </w:r>
          </w:p>
        </w:tc>
        <w:tc>
          <w:tcPr>
            <w:tcW w:type="dxa" w:w="1181"/>
            <w:tcMar>
              <w:top w:w="35" w:type="dxa"/>
              <w:start w:w="32" w:type="dxa"/>
              <w:bottom w:w="35" w:type="dxa"/>
              <w:end w:w="32" w:type="dxa"/>
            </w:tcMar>
          </w:tcPr>
          <w:p>
            <w:pPr>
              <w:jc w:val="center"/>
            </w:pPr>
            <w:r>
              <w:rPr>
                <w:rFonts w:ascii="Times New Roman" w:hAnsi="Times New Roman" w:eastAsia="Noto Serif CJK SC" w:cs="Times New Roman"/>
                <w:b w:val="0"/>
                <w:sz w:val="15"/>
              </w:rPr>
              <w:t>–</w:t>
            </w:r>
          </w:p>
        </w:tc>
        <w:tc>
          <w:tcPr>
            <w:tcW w:type="dxa" w:w="1944"/>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944"/>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440"/>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r>
      <w:tr>
        <w:trPr>
          <w:cantSplit/>
        </w:trPr>
        <w:tc>
          <w:tcPr>
            <w:tcW w:type="dxa" w:w="936"/>
            <w:tcMar>
              <w:top w:w="35" w:type="dxa"/>
              <w:start w:w="32" w:type="dxa"/>
              <w:bottom w:w="35" w:type="dxa"/>
              <w:end w:w="32" w:type="dxa"/>
            </w:tcMar>
          </w:tcPr>
          <w:p>
            <w:pPr>
              <w:jc w:val="left"/>
            </w:pPr>
            <w:r>
              <w:rPr>
                <w:rFonts w:ascii="Times New Roman" w:hAnsi="Times New Roman" w:eastAsia="Noto Serif CJK SC" w:cs="Times New Roman"/>
                <w:b w:val="0"/>
                <w:sz w:val="15"/>
              </w:rPr>
              <w:t>RAM</w:t>
            </w:r>
          </w:p>
        </w:tc>
        <w:tc>
          <w:tcPr>
            <w:tcW w:type="dxa" w:w="1800"/>
            <w:tcMar>
              <w:top w:w="35" w:type="dxa"/>
              <w:start w:w="32" w:type="dxa"/>
              <w:bottom w:w="35" w:type="dxa"/>
              <w:end w:w="32" w:type="dxa"/>
            </w:tcMar>
          </w:tcPr>
          <w:p>
            <w:pPr>
              <w:jc w:val="center"/>
            </w:pPr>
            <w:r>
              <w:rPr>
                <w:rFonts w:ascii="Times New Roman" w:hAnsi="Times New Roman" w:eastAsia="Noto Serif CJK SC" w:cs="Times New Roman"/>
                <w:b w:val="0"/>
                <w:sz w:val="15"/>
              </w:rPr>
              <w:t>Overlap-Only</w:t>
            </w:r>
          </w:p>
        </w:tc>
        <w:tc>
          <w:tcPr>
            <w:tcW w:type="dxa" w:w="1080"/>
            <w:tcMar>
              <w:top w:w="35" w:type="dxa"/>
              <w:start w:w="32" w:type="dxa"/>
              <w:bottom w:w="35" w:type="dxa"/>
              <w:end w:w="32" w:type="dxa"/>
            </w:tcMar>
          </w:tcPr>
          <w:p>
            <w:pPr>
              <w:jc w:val="center"/>
            </w:pPr>
            <w:r>
              <w:rPr>
                <w:rFonts w:ascii="Times New Roman" w:hAnsi="Times New Roman" w:eastAsia="Noto Serif CJK SC" w:cs="Times New Roman"/>
                <w:b w:val="0"/>
                <w:sz w:val="15"/>
              </w:rPr>
              <w:t>–</w:t>
            </w:r>
          </w:p>
        </w:tc>
        <w:tc>
          <w:tcPr>
            <w:tcW w:type="dxa" w:w="1181"/>
            <w:tcMar>
              <w:top w:w="35" w:type="dxa"/>
              <w:start w:w="32" w:type="dxa"/>
              <w:bottom w:w="35" w:type="dxa"/>
              <w:end w:w="32" w:type="dxa"/>
            </w:tcMar>
          </w:tcPr>
          <w:p>
            <w:pPr>
              <w:jc w:val="center"/>
            </w:pPr>
            <w:r>
              <w:rPr>
                <w:rFonts w:ascii="Times New Roman" w:hAnsi="Times New Roman" w:eastAsia="Noto Serif CJK SC" w:cs="Times New Roman"/>
                <w:b w:val="0"/>
                <w:sz w:val="15"/>
              </w:rPr>
              <w:t>✓</w:t>
            </w:r>
          </w:p>
        </w:tc>
        <w:tc>
          <w:tcPr>
            <w:tcW w:type="dxa" w:w="1944"/>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944"/>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440"/>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r>
      <w:tr>
        <w:trPr>
          <w:cantSplit/>
        </w:trPr>
        <w:tc>
          <w:tcPr>
            <w:tcW w:type="dxa" w:w="936"/>
            <w:tcMar>
              <w:top w:w="35" w:type="dxa"/>
              <w:start w:w="32" w:type="dxa"/>
              <w:bottom w:w="35" w:type="dxa"/>
              <w:end w:w="32" w:type="dxa"/>
            </w:tcMar>
          </w:tcPr>
          <w:p>
            <w:pPr>
              <w:jc w:val="left"/>
            </w:pPr>
            <w:r>
              <w:rPr>
                <w:rFonts w:ascii="Times New Roman" w:hAnsi="Times New Roman" w:eastAsia="Noto Serif CJK SC" w:cs="Times New Roman"/>
                <w:b w:val="0"/>
                <w:sz w:val="15"/>
              </w:rPr>
              <w:t>RAM</w:t>
            </w:r>
          </w:p>
        </w:tc>
        <w:tc>
          <w:tcPr>
            <w:tcW w:type="dxa" w:w="1800"/>
            <w:tcMar>
              <w:top w:w="35" w:type="dxa"/>
              <w:start w:w="32" w:type="dxa"/>
              <w:bottom w:w="35" w:type="dxa"/>
              <w:end w:w="32" w:type="dxa"/>
            </w:tcMar>
          </w:tcPr>
          <w:p>
            <w:pPr>
              <w:jc w:val="center"/>
            </w:pPr>
            <w:r>
              <w:rPr>
                <w:rFonts w:ascii="Times New Roman" w:hAnsi="Times New Roman" w:eastAsia="Noto Serif CJK SC" w:cs="Times New Roman"/>
                <w:b w:val="0"/>
                <w:sz w:val="15"/>
              </w:rPr>
              <w:t>Dual-Prior</w:t>
            </w:r>
          </w:p>
        </w:tc>
        <w:tc>
          <w:tcPr>
            <w:tcW w:type="dxa" w:w="1080"/>
            <w:tcMar>
              <w:top w:w="35" w:type="dxa"/>
              <w:start w:w="32" w:type="dxa"/>
              <w:bottom w:w="35" w:type="dxa"/>
              <w:end w:w="32" w:type="dxa"/>
            </w:tcMar>
          </w:tcPr>
          <w:p>
            <w:pPr>
              <w:jc w:val="center"/>
            </w:pPr>
            <w:r>
              <w:rPr>
                <w:rFonts w:ascii="Times New Roman" w:hAnsi="Times New Roman" w:eastAsia="Noto Serif CJK SC" w:cs="Times New Roman"/>
                <w:b w:val="0"/>
                <w:sz w:val="15"/>
              </w:rPr>
              <w:t>✓</w:t>
            </w:r>
          </w:p>
        </w:tc>
        <w:tc>
          <w:tcPr>
            <w:tcW w:type="dxa" w:w="1181"/>
            <w:tcMar>
              <w:top w:w="35" w:type="dxa"/>
              <w:start w:w="32" w:type="dxa"/>
              <w:bottom w:w="35" w:type="dxa"/>
              <w:end w:w="32" w:type="dxa"/>
            </w:tcMar>
          </w:tcPr>
          <w:p>
            <w:pPr>
              <w:jc w:val="center"/>
            </w:pPr>
            <w:r>
              <w:rPr>
                <w:rFonts w:ascii="Times New Roman" w:hAnsi="Times New Roman" w:eastAsia="Noto Serif CJK SC" w:cs="Times New Roman"/>
                <w:b w:val="0"/>
                <w:sz w:val="15"/>
              </w:rPr>
              <w:t>✓</w:t>
            </w:r>
          </w:p>
        </w:tc>
        <w:tc>
          <w:tcPr>
            <w:tcW w:type="dxa" w:w="1944"/>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944"/>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440"/>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r>
    </w:tbl>
    <w:p>
      <w:pPr>
        <w:spacing w:before="20" w:after="60"/>
        <w:jc w:val="both"/>
      </w:pPr>
      <w:r>
        <w:rPr>
          <w:rFonts w:ascii="Times New Roman" w:hAnsi="Times New Roman" w:eastAsia="Noto Serif CJK SC" w:cs="Times New Roman"/>
          <w:b w:val="0"/>
          <w:i w:val="0"/>
          <w:sz w:val="15"/>
        </w:rPr>
        <w:t>最终论文应在选定数量的随机种子上报告 mean ± standard deviation（目标：至少 3 个 seed），或在适当情况下报告配对 bootstrap 置信区间。</w:t>
      </w:r>
    </w:p>
    <w:p>
      <w:pPr>
        <w:sectPr>
          <w:type w:val="continuous"/>
          <w:pgSz w:w="12240" w:h="15840"/>
          <w:pgMar w:top="922" w:right="965" w:bottom="893" w:left="965" w:header="360" w:footer="360" w:gutter="0"/>
          <w:cols w:space="280" w:num="1"/>
          <w:docGrid w:linePitch="360"/>
        </w:sectPr>
      </w:pPr>
    </w:p>
    <w:p>
      <w:pPr>
        <w:keepNext/>
        <w:spacing w:before="100" w:after="30"/>
        <w:jc w:val="center"/>
      </w:pPr>
      <w:r>
        <w:rPr>
          <w:rFonts w:ascii="Times New Roman" w:hAnsi="Times New Roman" w:eastAsia="Noto Sans CJK SC" w:cs="Times New Roman"/>
          <w:b/>
          <w:i w:val="0"/>
          <w:sz w:val="22"/>
        </w:rPr>
        <w:t>消融实验</w:t>
      </w:r>
    </w:p>
    <w:p>
      <w:pPr>
        <w:keepNext/>
        <w:spacing w:before="60" w:after="30"/>
        <w:jc w:val="left"/>
      </w:pPr>
      <w:r>
        <w:rPr>
          <w:rFonts w:ascii="Times New Roman" w:hAnsi="Times New Roman" w:eastAsia="Noto Sans CJK SC" w:cs="Times New Roman"/>
          <w:b/>
          <w:i w:val="0"/>
          <w:sz w:val="19"/>
        </w:rPr>
        <w:t>骨缝先验与重叠先验的互补性。</w:t>
      </w:r>
    </w:p>
    <w:p>
      <w:pPr>
        <w:pStyle w:val="BodyText"/>
        <w:keepLines w:val="0"/>
        <w:spacing w:after="0" w:before="0" w:line="240" w:lineRule="auto"/>
        <w:ind w:firstLine="230"/>
        <w:jc w:val="both"/>
      </w:pPr>
      <w:r>
        <w:rPr>
          <w:rFonts w:ascii="Times New Roman" w:hAnsi="Times New Roman" w:eastAsia="Noto Serif CJK SC" w:cs="Times New Roman"/>
          <w:b w:val="0"/>
          <w:i w:val="0"/>
          <w:sz w:val="18"/>
        </w:rPr>
        <w:t>表2分别考察两个先验的贡献。在 TSRS 上，由于真实重叠成员归属不可观测，预计 Seam-Only 配置会带来最清晰的结构收益；因此，Overlap 分支仅作为迁移的弱线索进行评价，而不预设其一定有益。在 RAM-W600 上，Overlap-Only 配置可以直接利用可观测的多重成员归属，预计将贡献主要的补全收益。当 Dual-Prior 能够保留主导先验的优势，同时不对另一个结构目标造成系统性损害时，可认为双先验组合取得成功。最终实测结果：</w:t>
      </w:r>
      <w:r>
        <w:rPr>
          <w:rFonts w:ascii="Times New Roman" w:hAnsi="Times New Roman" w:eastAsia="Noto Serif CJK SC" w:cs="Times New Roman"/>
          <w:b/>
          <w:i w:val="0"/>
          <w:color w:val="C00000"/>
          <w:sz w:val="18"/>
        </w:rPr>
        <w:t>[待补充]</w:t>
      </w:r>
      <w:r>
        <w:rPr>
          <w:rFonts w:ascii="Times New Roman" w:hAnsi="Times New Roman" w:eastAsia="Noto Serif CJK SC" w:cs="Times New Roman"/>
          <w:b w:val="0"/>
          <w:i w:val="0"/>
          <w:sz w:val="18"/>
        </w:rPr>
        <w:t>。</w:t>
      </w:r>
    </w:p>
    <w:p>
      <w:pPr>
        <w:keepNext/>
        <w:spacing w:before="60" w:after="30"/>
        <w:jc w:val="left"/>
      </w:pPr>
      <w:r>
        <w:rPr>
          <w:rFonts w:ascii="Times New Roman" w:hAnsi="Times New Roman" w:eastAsia="Noto Sans CJK SC" w:cs="Times New Roman"/>
          <w:b/>
          <w:i w:val="0"/>
          <w:sz w:val="19"/>
        </w:rPr>
        <w:t>可观测与不可观测的重叠监督。</w:t>
      </w:r>
    </w:p>
    <w:p>
      <w:pPr>
        <w:pStyle w:val="BodyText"/>
        <w:keepLines w:val="0"/>
        <w:spacing w:after="0" w:before="0" w:line="240" w:lineRule="auto"/>
        <w:ind w:firstLine="230"/>
        <w:jc w:val="both"/>
      </w:pPr>
      <w:r>
        <w:rPr>
          <w:rFonts w:ascii="Times New Roman" w:hAnsi="Times New Roman" w:eastAsia="Noto Serif CJK SC" w:cs="Times New Roman"/>
          <w:b w:val="0"/>
          <w:i w:val="0"/>
          <w:sz w:val="18"/>
        </w:rPr>
        <w:t>我们计划通过监督可用性掩膜的消融，比较正确的处理方式与</w:t>
      </w:r>
      <w:r>
        <w:rPr>
          <w:rFonts w:ascii="Times New Roman" w:hAnsi="Times New Roman" w:eastAsia="Noto Serif CJK SC" w:cs="Times New Roman"/>
          <w:b/>
          <w:i w:val="0"/>
          <w:color w:val="C00000"/>
          <w:sz w:val="18"/>
        </w:rPr>
        <w:t>[待补充：如在伦理与科学上确有必要，可加入一个受控诊断实验，将 TSRS 中不可观测的重叠错误地视为负样本]</w:t>
      </w:r>
      <w:r>
        <w:rPr>
          <w:rFonts w:ascii="Times New Roman" w:hAnsi="Times New Roman" w:eastAsia="Noto Serif CJK SC" w:cs="Times New Roman"/>
          <w:b w:val="0"/>
          <w:i w:val="0"/>
          <w:sz w:val="18"/>
        </w:rPr>
        <w:t>。该实验为可选项，仅在能够澄清方法机制且不会制造误导性训练条件时纳入。正式方法始终将 TSRS 多重成员归属视为未知。</w:t>
      </w:r>
    </w:p>
    <w:p>
      <w:pPr>
        <w:keepNext/>
        <w:spacing w:before="60" w:after="30"/>
        <w:jc w:val="left"/>
      </w:pPr>
      <w:r>
        <w:rPr>
          <w:rFonts w:ascii="Times New Roman" w:hAnsi="Times New Roman" w:eastAsia="Noto Sans CJK SC" w:cs="Times New Roman"/>
          <w:b/>
          <w:i w:val="0"/>
          <w:sz w:val="19"/>
        </w:rPr>
        <w:t>梯度路由与保真约束。</w:t>
      </w:r>
    </w:p>
    <w:p>
      <w:pPr>
        <w:pStyle w:val="BodyText"/>
        <w:keepLines w:val="0"/>
        <w:spacing w:after="0" w:before="0" w:line="240" w:lineRule="auto"/>
        <w:ind w:firstLine="230"/>
        <w:jc w:val="both"/>
      </w:pPr>
      <w:r>
        <w:rPr>
          <w:rFonts w:ascii="Times New Roman" w:hAnsi="Times New Roman" w:eastAsia="Noto Serif CJK SC" w:cs="Times New Roman"/>
          <w:b w:val="0"/>
          <w:i w:val="0"/>
          <w:sz w:val="18"/>
        </w:rPr>
        <w:t>为检验结构目标是否会扰乱基础模型，我们比较简单加权求和、主梯度锚定式路由，以及有/无保真项的情况。我们报告完整标准指标向量，并统计需要执行梯度投影的辅助步骤比例。预期结果并不是保证每个指标都提升，而是相较朴素多目标训练，梯度路由应减少退化发生的频率和幅度。最终结果：</w:t>
      </w:r>
      <w:r>
        <w:rPr>
          <w:rFonts w:ascii="Times New Roman" w:hAnsi="Times New Roman" w:eastAsia="Noto Serif CJK SC" w:cs="Times New Roman"/>
          <w:b/>
          <w:i w:val="0"/>
          <w:color w:val="C00000"/>
          <w:sz w:val="18"/>
        </w:rPr>
        <w:t>[待补充]</w:t>
      </w:r>
      <w:r>
        <w:rPr>
          <w:rFonts w:ascii="Times New Roman" w:hAnsi="Times New Roman" w:eastAsia="Noto Serif CJK SC" w:cs="Times New Roman"/>
          <w:b w:val="0"/>
          <w:i w:val="0"/>
          <w:sz w:val="18"/>
        </w:rPr>
        <w:t>。</w:t>
      </w:r>
    </w:p>
    <w:p>
      <w:pPr>
        <w:sectPr>
          <w:type w:val="continuous"/>
          <w:pgSz w:w="12240" w:h="15840"/>
          <w:pgMar w:top="922" w:right="965" w:bottom="893" w:left="965" w:header="360" w:footer="360" w:gutter="0"/>
          <w:cols w:space="280" w:num="2"/>
          <w:docGrid w:linePitch="360"/>
        </w:sectPr>
      </w:pPr>
    </w:p>
    <w:p>
      <w:pPr>
        <w:spacing w:before="40" w:after="40"/>
        <w:jc w:val="center"/>
      </w:pPr>
      <w:r>
        <w:rPr>
          <w:rFonts w:ascii="Times New Roman" w:hAnsi="Times New Roman" w:eastAsia="Noto Serif CJK SC" w:cs="Times New Roman"/>
          <w:b w:val="0"/>
          <w:i w:val="0"/>
          <w:sz w:val="17"/>
        </w:rPr>
        <w:t>表3：DualPriorSeg 的骨干可迁移性。每个 +Prior 行均复用同一结构先验接口，并与匹配的基础骨干进行比较。</w:t>
      </w:r>
    </w:p>
    <w:tbl>
      <w:tblPr>
        <w:tblW w:type="auto" w:w="0"/>
        <w:jc w:val="center"/>
        <w:tblLayout w:type="fixed"/>
        <w:tblLook w:firstColumn="1" w:firstRow="1" w:lastColumn="0" w:lastRow="0" w:noHBand="0" w:noVBand="1" w:val="04A0"/>
      </w:tblPr>
      <w:tblGrid>
        <w:gridCol w:w="1718"/>
        <w:gridCol w:w="1718"/>
        <w:gridCol w:w="1718"/>
        <w:gridCol w:w="1718"/>
        <w:gridCol w:w="1718"/>
        <w:gridCol w:w="1718"/>
      </w:tblGrid>
      <w:tr>
        <w:trPr>
          <w:tblHeader w:val="true"/>
          <w:cantSplit/>
        </w:trPr>
        <w:tc>
          <w:tcPr>
            <w:tcW w:type="dxa" w:w="1296"/>
            <w:shd w:fill="EAEAEA"/>
            <w:tcMar>
              <w:top w:w="45" w:type="dxa"/>
              <w:start w:w="35" w:type="dxa"/>
              <w:bottom w:w="45" w:type="dxa"/>
              <w:end w:w="35" w:type="dxa"/>
            </w:tcMar>
          </w:tcPr>
          <w:p>
            <w:pPr>
              <w:jc w:val="center"/>
            </w:pPr>
            <w:r>
              <w:rPr>
                <w:rFonts w:ascii="Times New Roman" w:hAnsi="Times New Roman" w:eastAsia="Noto Serif CJK SC" w:cs="Times New Roman"/>
                <w:b/>
                <w:sz w:val="15"/>
              </w:rPr>
              <w:t>数据集</w:t>
            </w:r>
          </w:p>
        </w:tc>
        <w:tc>
          <w:tcPr>
            <w:tcW w:type="dxa" w:w="2160"/>
            <w:shd w:fill="EAEAEA"/>
            <w:tcMar>
              <w:top w:w="45" w:type="dxa"/>
              <w:start w:w="35" w:type="dxa"/>
              <w:bottom w:w="45" w:type="dxa"/>
              <w:end w:w="35" w:type="dxa"/>
            </w:tcMar>
          </w:tcPr>
          <w:p>
            <w:pPr>
              <w:jc w:val="center"/>
            </w:pPr>
            <w:r>
              <w:rPr>
                <w:rFonts w:ascii="Times New Roman" w:hAnsi="Times New Roman" w:eastAsia="Noto Serif CJK SC" w:cs="Times New Roman"/>
                <w:b/>
                <w:sz w:val="15"/>
              </w:rPr>
              <w:t>骨干网络</w:t>
            </w:r>
          </w:p>
        </w:tc>
        <w:tc>
          <w:tcPr>
            <w:tcW w:type="dxa" w:w="1584"/>
            <w:shd w:fill="EAEAEA"/>
            <w:tcMar>
              <w:top w:w="45" w:type="dxa"/>
              <w:start w:w="35" w:type="dxa"/>
              <w:bottom w:w="45" w:type="dxa"/>
              <w:end w:w="35" w:type="dxa"/>
            </w:tcMar>
          </w:tcPr>
          <w:p>
            <w:pPr>
              <w:jc w:val="center"/>
            </w:pPr>
            <w:r>
              <w:rPr>
                <w:rFonts w:ascii="Times New Roman" w:hAnsi="Times New Roman" w:eastAsia="Noto Serif CJK SC" w:cs="Times New Roman"/>
                <w:b/>
                <w:sz w:val="15"/>
              </w:rPr>
              <w:t>基础指标</w:t>
            </w:r>
          </w:p>
        </w:tc>
        <w:tc>
          <w:tcPr>
            <w:tcW w:type="dxa" w:w="1728"/>
            <w:shd w:fill="EAEAEA"/>
            <w:tcMar>
              <w:top w:w="45" w:type="dxa"/>
              <w:start w:w="35" w:type="dxa"/>
              <w:bottom w:w="45" w:type="dxa"/>
              <w:end w:w="35" w:type="dxa"/>
            </w:tcMar>
          </w:tcPr>
          <w:p>
            <w:pPr>
              <w:jc w:val="center"/>
            </w:pPr>
            <w:r>
              <w:rPr>
                <w:rFonts w:ascii="Times New Roman" w:hAnsi="Times New Roman" w:eastAsia="Noto Serif CJK SC" w:cs="Times New Roman"/>
                <w:b/>
                <w:sz w:val="15"/>
              </w:rPr>
              <w:t>+DualPriorSeg</w:t>
            </w:r>
          </w:p>
        </w:tc>
        <w:tc>
          <w:tcPr>
            <w:tcW w:type="dxa" w:w="1440"/>
            <w:shd w:fill="EAEAEA"/>
            <w:tcMar>
              <w:top w:w="45" w:type="dxa"/>
              <w:start w:w="35" w:type="dxa"/>
              <w:bottom w:w="45" w:type="dxa"/>
              <w:end w:w="35" w:type="dxa"/>
            </w:tcMar>
          </w:tcPr>
          <w:p>
            <w:pPr>
              <w:jc w:val="center"/>
            </w:pPr>
            <w:r>
              <w:rPr>
                <w:rFonts w:ascii="Times New Roman" w:hAnsi="Times New Roman" w:eastAsia="Noto Serif CJK SC" w:cs="Times New Roman"/>
                <w:b/>
                <w:sz w:val="15"/>
              </w:rPr>
              <w:t>绝对增益</w:t>
            </w:r>
          </w:p>
        </w:tc>
        <w:tc>
          <w:tcPr>
            <w:tcW w:type="dxa" w:w="2088"/>
            <w:shd w:fill="EAEAEA"/>
            <w:tcMar>
              <w:top w:w="45" w:type="dxa"/>
              <w:start w:w="35" w:type="dxa"/>
              <w:bottom w:w="45" w:type="dxa"/>
              <w:end w:w="35" w:type="dxa"/>
            </w:tcMar>
          </w:tcPr>
          <w:p>
            <w:pPr>
              <w:jc w:val="center"/>
            </w:pPr>
            <w:r>
              <w:rPr>
                <w:rFonts w:ascii="Times New Roman" w:hAnsi="Times New Roman" w:eastAsia="Noto Serif CJK SC" w:cs="Times New Roman"/>
                <w:b/>
                <w:sz w:val="15"/>
              </w:rPr>
              <w:t>边界/表面增益</w:t>
            </w:r>
          </w:p>
        </w:tc>
      </w:tr>
      <w:tr>
        <w:trPr>
          <w:cantSplit/>
        </w:trPr>
        <w:tc>
          <w:tcPr>
            <w:tcW w:type="dxa" w:w="1296"/>
            <w:tcMar>
              <w:top w:w="35" w:type="dxa"/>
              <w:start w:w="32" w:type="dxa"/>
              <w:bottom w:w="35" w:type="dxa"/>
              <w:end w:w="32" w:type="dxa"/>
            </w:tcMar>
          </w:tcPr>
          <w:p>
            <w:pPr>
              <w:jc w:val="left"/>
            </w:pPr>
            <w:r>
              <w:rPr>
                <w:rFonts w:ascii="Times New Roman" w:hAnsi="Times New Roman" w:eastAsia="Noto Serif CJK SC" w:cs="Times New Roman"/>
                <w:b w:val="0"/>
                <w:sz w:val="15"/>
              </w:rPr>
              <w:t>TSRS</w:t>
            </w:r>
          </w:p>
        </w:tc>
        <w:tc>
          <w:tcPr>
            <w:tcW w:type="dxa" w:w="2160"/>
            <w:tcMar>
              <w:top w:w="35" w:type="dxa"/>
              <w:start w:w="32" w:type="dxa"/>
              <w:bottom w:w="35" w:type="dxa"/>
              <w:end w:w="32" w:type="dxa"/>
            </w:tcMar>
          </w:tcPr>
          <w:p>
            <w:pPr>
              <w:jc w:val="center"/>
            </w:pPr>
            <w:r>
              <w:rPr>
                <w:rFonts w:ascii="Times New Roman" w:hAnsi="Times New Roman" w:eastAsia="Noto Serif CJK SC" w:cs="Times New Roman"/>
                <w:b w:val="0"/>
                <w:sz w:val="15"/>
              </w:rPr>
              <w:t>nnU-Net</w:t>
            </w:r>
          </w:p>
        </w:tc>
        <w:tc>
          <w:tcPr>
            <w:tcW w:type="dxa" w:w="1584"/>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728"/>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440"/>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2088"/>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r>
      <w:tr>
        <w:trPr>
          <w:cantSplit/>
        </w:trPr>
        <w:tc>
          <w:tcPr>
            <w:tcW w:type="dxa" w:w="1296"/>
            <w:tcMar>
              <w:top w:w="35" w:type="dxa"/>
              <w:start w:w="32" w:type="dxa"/>
              <w:bottom w:w="35" w:type="dxa"/>
              <w:end w:w="32" w:type="dxa"/>
            </w:tcMar>
          </w:tcPr>
          <w:p>
            <w:pPr>
              <w:jc w:val="left"/>
            </w:pPr>
            <w:r>
              <w:rPr>
                <w:rFonts w:ascii="Times New Roman" w:hAnsi="Times New Roman" w:eastAsia="Noto Serif CJK SC" w:cs="Times New Roman"/>
                <w:b w:val="0"/>
                <w:sz w:val="15"/>
              </w:rPr>
              <w:t>TSRS</w:t>
            </w:r>
          </w:p>
        </w:tc>
        <w:tc>
          <w:tcPr>
            <w:tcW w:type="dxa" w:w="2160"/>
            <w:tcMar>
              <w:top w:w="35" w:type="dxa"/>
              <w:start w:w="32" w:type="dxa"/>
              <w:bottom w:w="35" w:type="dxa"/>
              <w:end w:w="32" w:type="dxa"/>
            </w:tcMar>
          </w:tcPr>
          <w:p>
            <w:pPr>
              <w:jc w:val="center"/>
            </w:pPr>
            <w:r>
              <w:rPr>
                <w:rFonts w:ascii="Times New Roman" w:hAnsi="Times New Roman" w:eastAsia="Noto Serif CJK SC" w:cs="Times New Roman"/>
                <w:b w:val="0"/>
                <w:sz w:val="15"/>
              </w:rPr>
              <w:t>TransUNet</w:t>
            </w:r>
          </w:p>
        </w:tc>
        <w:tc>
          <w:tcPr>
            <w:tcW w:type="dxa" w:w="1584"/>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728"/>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440"/>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2088"/>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r>
      <w:tr>
        <w:trPr>
          <w:cantSplit/>
        </w:trPr>
        <w:tc>
          <w:tcPr>
            <w:tcW w:type="dxa" w:w="1296"/>
            <w:tcMar>
              <w:top w:w="35" w:type="dxa"/>
              <w:start w:w="32" w:type="dxa"/>
              <w:bottom w:w="35" w:type="dxa"/>
              <w:end w:w="32" w:type="dxa"/>
            </w:tcMar>
          </w:tcPr>
          <w:p>
            <w:pPr>
              <w:jc w:val="left"/>
            </w:pPr>
            <w:r>
              <w:rPr>
                <w:rFonts w:ascii="Times New Roman" w:hAnsi="Times New Roman" w:eastAsia="Noto Serif CJK SC" w:cs="Times New Roman"/>
                <w:b w:val="0"/>
                <w:sz w:val="15"/>
              </w:rPr>
              <w:t>TSRS</w:t>
            </w:r>
          </w:p>
        </w:tc>
        <w:tc>
          <w:tcPr>
            <w:tcW w:type="dxa" w:w="2160"/>
            <w:tcMar>
              <w:top w:w="35" w:type="dxa"/>
              <w:start w:w="32" w:type="dxa"/>
              <w:bottom w:w="35" w:type="dxa"/>
              <w:end w:w="32" w:type="dxa"/>
            </w:tcMar>
          </w:tcPr>
          <w:p>
            <w:pPr>
              <w:jc w:val="center"/>
            </w:pPr>
            <w:r>
              <w:rPr>
                <w:rFonts w:ascii="Times New Roman" w:hAnsi="Times New Roman" w:eastAsia="Noto Serif CJK SC" w:cs="Times New Roman"/>
                <w:b w:val="0"/>
                <w:sz w:val="15"/>
              </w:rPr>
              <w:t>Swin-UMamba</w:t>
            </w:r>
          </w:p>
        </w:tc>
        <w:tc>
          <w:tcPr>
            <w:tcW w:type="dxa" w:w="1584"/>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728"/>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440"/>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2088"/>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r>
      <w:tr>
        <w:trPr>
          <w:cantSplit/>
        </w:trPr>
        <w:tc>
          <w:tcPr>
            <w:tcW w:type="dxa" w:w="1296"/>
            <w:tcMar>
              <w:top w:w="35" w:type="dxa"/>
              <w:start w:w="32" w:type="dxa"/>
              <w:bottom w:w="35" w:type="dxa"/>
              <w:end w:w="32" w:type="dxa"/>
            </w:tcMar>
          </w:tcPr>
          <w:p>
            <w:pPr>
              <w:jc w:val="left"/>
            </w:pPr>
            <w:r>
              <w:rPr>
                <w:rFonts w:ascii="Times New Roman" w:hAnsi="Times New Roman" w:eastAsia="Noto Serif CJK SC" w:cs="Times New Roman"/>
                <w:b w:val="0"/>
                <w:sz w:val="15"/>
              </w:rPr>
              <w:t>RAM-W600</w:t>
            </w:r>
          </w:p>
        </w:tc>
        <w:tc>
          <w:tcPr>
            <w:tcW w:type="dxa" w:w="2160"/>
            <w:tcMar>
              <w:top w:w="35" w:type="dxa"/>
              <w:start w:w="32" w:type="dxa"/>
              <w:bottom w:w="35" w:type="dxa"/>
              <w:end w:w="32" w:type="dxa"/>
            </w:tcMar>
          </w:tcPr>
          <w:p>
            <w:pPr>
              <w:jc w:val="center"/>
            </w:pPr>
            <w:r>
              <w:rPr>
                <w:rFonts w:ascii="Times New Roman" w:hAnsi="Times New Roman" w:eastAsia="Noto Serif CJK SC" w:cs="Times New Roman"/>
                <w:b w:val="0"/>
                <w:sz w:val="15"/>
              </w:rPr>
              <w:t>nnU-Net</w:t>
            </w:r>
          </w:p>
        </w:tc>
        <w:tc>
          <w:tcPr>
            <w:tcW w:type="dxa" w:w="1584"/>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728"/>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440"/>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2088"/>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r>
      <w:tr>
        <w:trPr>
          <w:cantSplit/>
        </w:trPr>
        <w:tc>
          <w:tcPr>
            <w:tcW w:type="dxa" w:w="1296"/>
            <w:tcMar>
              <w:top w:w="35" w:type="dxa"/>
              <w:start w:w="32" w:type="dxa"/>
              <w:bottom w:w="35" w:type="dxa"/>
              <w:end w:w="32" w:type="dxa"/>
            </w:tcMar>
          </w:tcPr>
          <w:p>
            <w:pPr>
              <w:jc w:val="left"/>
            </w:pPr>
            <w:r>
              <w:rPr>
                <w:rFonts w:ascii="Times New Roman" w:hAnsi="Times New Roman" w:eastAsia="Noto Serif CJK SC" w:cs="Times New Roman"/>
                <w:b w:val="0"/>
                <w:sz w:val="15"/>
              </w:rPr>
              <w:t>RAM-W600</w:t>
            </w:r>
          </w:p>
        </w:tc>
        <w:tc>
          <w:tcPr>
            <w:tcW w:type="dxa" w:w="2160"/>
            <w:tcMar>
              <w:top w:w="35" w:type="dxa"/>
              <w:start w:w="32" w:type="dxa"/>
              <w:bottom w:w="35" w:type="dxa"/>
              <w:end w:w="32" w:type="dxa"/>
            </w:tcMar>
          </w:tcPr>
          <w:p>
            <w:pPr>
              <w:jc w:val="center"/>
            </w:pPr>
            <w:r>
              <w:rPr>
                <w:rFonts w:ascii="Times New Roman" w:hAnsi="Times New Roman" w:eastAsia="Noto Serif CJK SC" w:cs="Times New Roman"/>
                <w:b w:val="0"/>
                <w:sz w:val="15"/>
              </w:rPr>
              <w:t>TransUNet</w:t>
            </w:r>
          </w:p>
        </w:tc>
        <w:tc>
          <w:tcPr>
            <w:tcW w:type="dxa" w:w="1584"/>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728"/>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440"/>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2088"/>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r>
      <w:tr>
        <w:trPr>
          <w:cantSplit/>
        </w:trPr>
        <w:tc>
          <w:tcPr>
            <w:tcW w:type="dxa" w:w="1296"/>
            <w:tcMar>
              <w:top w:w="35" w:type="dxa"/>
              <w:start w:w="32" w:type="dxa"/>
              <w:bottom w:w="35" w:type="dxa"/>
              <w:end w:w="32" w:type="dxa"/>
            </w:tcMar>
          </w:tcPr>
          <w:p>
            <w:pPr>
              <w:jc w:val="left"/>
            </w:pPr>
            <w:r>
              <w:rPr>
                <w:rFonts w:ascii="Times New Roman" w:hAnsi="Times New Roman" w:eastAsia="Noto Serif CJK SC" w:cs="Times New Roman"/>
                <w:b w:val="0"/>
                <w:sz w:val="15"/>
              </w:rPr>
              <w:t>RAM-W600</w:t>
            </w:r>
          </w:p>
        </w:tc>
        <w:tc>
          <w:tcPr>
            <w:tcW w:type="dxa" w:w="2160"/>
            <w:tcMar>
              <w:top w:w="35" w:type="dxa"/>
              <w:start w:w="32" w:type="dxa"/>
              <w:bottom w:w="35" w:type="dxa"/>
              <w:end w:w="32" w:type="dxa"/>
            </w:tcMar>
          </w:tcPr>
          <w:p>
            <w:pPr>
              <w:jc w:val="center"/>
            </w:pPr>
            <w:r>
              <w:rPr>
                <w:rFonts w:ascii="Times New Roman" w:hAnsi="Times New Roman" w:eastAsia="Noto Serif CJK SC" w:cs="Times New Roman"/>
                <w:b w:val="0"/>
                <w:sz w:val="15"/>
              </w:rPr>
              <w:t>Swin-UMamba</w:t>
            </w:r>
          </w:p>
        </w:tc>
        <w:tc>
          <w:tcPr>
            <w:tcW w:type="dxa" w:w="1584"/>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728"/>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440"/>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2088"/>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r>
    </w:tbl>
    <w:p>
      <w:pPr>
        <w:spacing w:before="20" w:after="60"/>
        <w:jc w:val="both"/>
      </w:pPr>
      <w:r>
        <w:rPr>
          <w:rFonts w:ascii="Times New Roman" w:hAnsi="Times New Roman" w:eastAsia="Noto Serif CJK SC" w:cs="Times New Roman"/>
          <w:b w:val="0"/>
          <w:i w:val="0"/>
          <w:sz w:val="15"/>
        </w:rPr>
        <w:t>同一骨干成对比较时，必须使用相同的预处理、数据划分、训练预算与 checkpoint 选择规则。不得将单独调优后的 +Prior 模型与训练不足的基础模型进行比较。</w:t>
      </w:r>
    </w:p>
    <w:p>
      <w:pPr>
        <w:sectPr>
          <w:type w:val="continuous"/>
          <w:pgSz w:w="12240" w:h="15840"/>
          <w:pgMar w:top="922" w:right="965" w:bottom="893" w:left="965" w:header="360" w:footer="360" w:gutter="0"/>
          <w:cols w:space="280" w:num="1"/>
          <w:docGrid w:linePitch="360"/>
        </w:sectPr>
      </w:pPr>
    </w:p>
    <w:p>
      <w:pPr>
        <w:keepNext/>
        <w:spacing w:before="100" w:after="30"/>
        <w:jc w:val="center"/>
      </w:pPr>
      <w:r>
        <w:rPr>
          <w:rFonts w:ascii="Times New Roman" w:hAnsi="Times New Roman" w:eastAsia="Noto Sans CJK SC" w:cs="Times New Roman"/>
          <w:b/>
          <w:i w:val="0"/>
          <w:sz w:val="22"/>
        </w:rPr>
        <w:t>骨干可迁移性</w:t>
      </w:r>
    </w:p>
    <w:p>
      <w:pPr>
        <w:pStyle w:val="BodyText"/>
        <w:keepLines w:val="0"/>
        <w:spacing w:after="0" w:before="0" w:line="240" w:lineRule="auto"/>
        <w:ind w:firstLine="230"/>
        <w:jc w:val="both"/>
      </w:pPr>
      <w:r>
        <w:rPr>
          <w:rFonts w:ascii="Times New Roman" w:hAnsi="Times New Roman" w:eastAsia="Noto Serif CJK SC" w:cs="Times New Roman"/>
          <w:b w:val="0"/>
          <w:i w:val="0"/>
          <w:sz w:val="18"/>
        </w:rPr>
        <w:t>表3用于验证本文“骨干无关”的核心主张。结构模块不会针对不同架构重新设计，仅替换其原生输入/输出适配器。在 TSRS 上，DualPriorSeg 使 nnU-Net 变化</w:t>
      </w:r>
      <w:r>
        <w:rPr>
          <w:rFonts w:ascii="Times New Roman" w:hAnsi="Times New Roman" w:eastAsia="Noto Serif CJK SC" w:cs="Times New Roman"/>
          <w:b/>
          <w:i w:val="0"/>
          <w:color w:val="C00000"/>
          <w:sz w:val="18"/>
        </w:rPr>
        <w:t>[待补充]</w:t>
      </w:r>
      <w:r>
        <w:rPr>
          <w:rFonts w:ascii="Times New Roman" w:hAnsi="Times New Roman" w:eastAsia="Noto Serif CJK SC" w:cs="Times New Roman"/>
          <w:b w:val="0"/>
          <w:i w:val="0"/>
          <w:sz w:val="18"/>
        </w:rPr>
        <w:t>、TransUNet 变化</w:t>
      </w:r>
      <w:r>
        <w:rPr>
          <w:rFonts w:ascii="Times New Roman" w:hAnsi="Times New Roman" w:eastAsia="Noto Serif CJK SC" w:cs="Times New Roman"/>
          <w:b/>
          <w:i w:val="0"/>
          <w:color w:val="C00000"/>
          <w:sz w:val="18"/>
        </w:rPr>
        <w:t>[待补充]</w:t>
      </w:r>
      <w:r>
        <w:rPr>
          <w:rFonts w:ascii="Times New Roman" w:hAnsi="Times New Roman" w:eastAsia="Noto Serif CJK SC" w:cs="Times New Roman"/>
          <w:b w:val="0"/>
          <w:i w:val="0"/>
          <w:sz w:val="18"/>
        </w:rPr>
        <w:t>、Swin-UMamba 变化</w:t>
      </w:r>
      <w:r>
        <w:rPr>
          <w:rFonts w:ascii="Times New Roman" w:hAnsi="Times New Roman" w:eastAsia="Noto Serif CJK SC" w:cs="Times New Roman"/>
          <w:b/>
          <w:i w:val="0"/>
          <w:color w:val="C00000"/>
          <w:sz w:val="18"/>
        </w:rPr>
        <w:t>[待补充]</w:t>
      </w:r>
      <w:r>
        <w:rPr>
          <w:rFonts w:ascii="Times New Roman" w:hAnsi="Times New Roman" w:eastAsia="Noto Serif CJK SC" w:cs="Times New Roman"/>
          <w:b w:val="0"/>
          <w:i w:val="0"/>
          <w:sz w:val="18"/>
        </w:rPr>
        <w:t>；RAM-W600 上对应变化为</w:t>
      </w:r>
      <w:r>
        <w:rPr>
          <w:rFonts w:ascii="Times New Roman" w:hAnsi="Times New Roman" w:eastAsia="Noto Serif CJK SC" w:cs="Times New Roman"/>
          <w:b/>
          <w:i w:val="0"/>
          <w:color w:val="C00000"/>
          <w:sz w:val="18"/>
        </w:rPr>
        <w:t>[待补充]</w:t>
      </w:r>
      <w:r>
        <w:rPr>
          <w:rFonts w:ascii="Times New Roman" w:hAnsi="Times New Roman" w:eastAsia="Noto Serif CJK SC" w:cs="Times New Roman"/>
          <w:b w:val="0"/>
          <w:i w:val="0"/>
          <w:sz w:val="18"/>
        </w:rPr>
        <w:t>。若在结构差异明显的多个骨干网络上均能观察到一致的正向或非劣表现，则可以支持这样一个结论：这些先验确实作为可复用的结构接口工作，而不是隐藏的 nnU-Net 特定改造。</w:t>
      </w:r>
    </w:p>
    <w:p>
      <w:pPr>
        <w:sectPr>
          <w:type w:val="continuous"/>
          <w:pgSz w:w="12240" w:h="15840"/>
          <w:pgMar w:top="922" w:right="965" w:bottom="893" w:left="965" w:header="360" w:footer="360" w:gutter="0"/>
          <w:cols w:space="280" w:num="2"/>
          <w:docGrid w:linePitch="360"/>
        </w:sectPr>
      </w:pPr>
    </w:p>
    <w:p>
      <w:pPr>
        <w:spacing w:before="40" w:after="40"/>
        <w:jc w:val="center"/>
      </w:pPr>
      <w:r>
        <w:rPr>
          <w:rFonts w:ascii="Times New Roman" w:hAnsi="Times New Roman" w:eastAsia="Noto Serif CJK SC" w:cs="Times New Roman"/>
          <w:b w:val="0"/>
          <w:i w:val="0"/>
          <w:sz w:val="17"/>
        </w:rPr>
        <w:t>表4：按照官方分割协议进行的 RAM-W600 基准比较。</w:t>
      </w:r>
    </w:p>
    <w:tbl>
      <w:tblPr>
        <w:tblW w:type="auto" w:w="0"/>
        <w:jc w:val="center"/>
        <w:tblLayout w:type="fixed"/>
        <w:tblLook w:firstColumn="1" w:firstRow="1" w:lastColumn="0" w:lastRow="0" w:noHBand="0" w:noVBand="1" w:val="04A0"/>
      </w:tblPr>
      <w:tblGrid>
        <w:gridCol w:w="1718"/>
        <w:gridCol w:w="1718"/>
        <w:gridCol w:w="1718"/>
        <w:gridCol w:w="1718"/>
        <w:gridCol w:w="1718"/>
        <w:gridCol w:w="1718"/>
      </w:tblGrid>
      <w:tr>
        <w:trPr>
          <w:tblHeader w:val="true"/>
          <w:cantSplit/>
        </w:trPr>
        <w:tc>
          <w:tcPr>
            <w:tcW w:type="dxa" w:w="3168"/>
            <w:shd w:fill="EAEAEA"/>
            <w:tcMar>
              <w:top w:w="45" w:type="dxa"/>
              <w:start w:w="35" w:type="dxa"/>
              <w:bottom w:w="45" w:type="dxa"/>
              <w:end w:w="35" w:type="dxa"/>
            </w:tcMar>
          </w:tcPr>
          <w:p>
            <w:pPr>
              <w:jc w:val="center"/>
            </w:pPr>
            <w:r>
              <w:rPr>
                <w:rFonts w:ascii="Times New Roman" w:hAnsi="Times New Roman" w:eastAsia="Noto Serif CJK SC" w:cs="Times New Roman"/>
                <w:b/>
                <w:sz w:val="15"/>
              </w:rPr>
              <w:t>方法</w:t>
            </w:r>
          </w:p>
        </w:tc>
        <w:tc>
          <w:tcPr>
            <w:tcW w:type="dxa" w:w="1296"/>
            <w:shd w:fill="EAEAEA"/>
            <w:tcMar>
              <w:top w:w="45" w:type="dxa"/>
              <w:start w:w="35" w:type="dxa"/>
              <w:bottom w:w="45" w:type="dxa"/>
              <w:end w:w="35" w:type="dxa"/>
            </w:tcMar>
          </w:tcPr>
          <w:p>
            <w:pPr>
              <w:jc w:val="center"/>
            </w:pPr>
            <w:r>
              <w:rPr>
                <w:rFonts w:ascii="Times New Roman" w:hAnsi="Times New Roman" w:eastAsia="Noto Serif CJK SC" w:cs="Times New Roman"/>
                <w:b/>
                <w:sz w:val="15"/>
              </w:rPr>
              <w:t>DSC ↑</w:t>
            </w:r>
          </w:p>
        </w:tc>
        <w:tc>
          <w:tcPr>
            <w:tcW w:type="dxa" w:w="1296"/>
            <w:shd w:fill="EAEAEA"/>
            <w:tcMar>
              <w:top w:w="45" w:type="dxa"/>
              <w:start w:w="35" w:type="dxa"/>
              <w:bottom w:w="45" w:type="dxa"/>
              <w:end w:w="35" w:type="dxa"/>
            </w:tcMar>
          </w:tcPr>
          <w:p>
            <w:pPr>
              <w:jc w:val="center"/>
            </w:pPr>
            <w:r>
              <w:rPr>
                <w:rFonts w:ascii="Times New Roman" w:hAnsi="Times New Roman" w:eastAsia="Noto Serif CJK SC" w:cs="Times New Roman"/>
                <w:b/>
                <w:sz w:val="15"/>
              </w:rPr>
              <w:t>NSD ↑</w:t>
            </w:r>
          </w:p>
        </w:tc>
        <w:tc>
          <w:tcPr>
            <w:tcW w:type="dxa" w:w="1296"/>
            <w:shd w:fill="EAEAEA"/>
            <w:tcMar>
              <w:top w:w="45" w:type="dxa"/>
              <w:start w:w="35" w:type="dxa"/>
              <w:bottom w:w="45" w:type="dxa"/>
              <w:end w:w="35" w:type="dxa"/>
            </w:tcMar>
          </w:tcPr>
          <w:p>
            <w:pPr>
              <w:jc w:val="center"/>
            </w:pPr>
            <w:r>
              <w:rPr>
                <w:rFonts w:ascii="Times New Roman" w:hAnsi="Times New Roman" w:eastAsia="Noto Serif CJK SC" w:cs="Times New Roman"/>
                <w:b/>
                <w:sz w:val="15"/>
              </w:rPr>
              <w:t>VOE ↓</w:t>
            </w:r>
          </w:p>
        </w:tc>
        <w:tc>
          <w:tcPr>
            <w:tcW w:type="dxa" w:w="1296"/>
            <w:shd w:fill="EAEAEA"/>
            <w:tcMar>
              <w:top w:w="45" w:type="dxa"/>
              <w:start w:w="35" w:type="dxa"/>
              <w:bottom w:w="45" w:type="dxa"/>
              <w:end w:w="35" w:type="dxa"/>
            </w:tcMar>
          </w:tcPr>
          <w:p>
            <w:pPr>
              <w:jc w:val="center"/>
            </w:pPr>
            <w:r>
              <w:rPr>
                <w:rFonts w:ascii="Times New Roman" w:hAnsi="Times New Roman" w:eastAsia="Noto Serif CJK SC" w:cs="Times New Roman"/>
                <w:b/>
                <w:sz w:val="15"/>
              </w:rPr>
              <w:t>MSD ↓</w:t>
            </w:r>
          </w:p>
        </w:tc>
        <w:tc>
          <w:tcPr>
            <w:tcW w:type="dxa" w:w="1296"/>
            <w:shd w:fill="EAEAEA"/>
            <w:tcMar>
              <w:top w:w="45" w:type="dxa"/>
              <w:start w:w="35" w:type="dxa"/>
              <w:bottom w:w="45" w:type="dxa"/>
              <w:end w:w="35" w:type="dxa"/>
            </w:tcMar>
          </w:tcPr>
          <w:p>
            <w:pPr>
              <w:jc w:val="center"/>
            </w:pPr>
            <w:r>
              <w:rPr>
                <w:rFonts w:ascii="Times New Roman" w:hAnsi="Times New Roman" w:eastAsia="Noto Serif CJK SC" w:cs="Times New Roman"/>
                <w:b/>
                <w:sz w:val="15"/>
              </w:rPr>
              <w:t>RAVD ↓</w:t>
            </w:r>
          </w:p>
        </w:tc>
      </w:tr>
      <w:tr>
        <w:trPr>
          <w:cantSplit/>
        </w:trPr>
        <w:tc>
          <w:tcPr>
            <w:tcW w:type="dxa" w:w="3168"/>
            <w:tcMar>
              <w:top w:w="35" w:type="dxa"/>
              <w:start w:w="32" w:type="dxa"/>
              <w:bottom w:w="35" w:type="dxa"/>
              <w:end w:w="32" w:type="dxa"/>
            </w:tcMar>
          </w:tcPr>
          <w:p>
            <w:pPr>
              <w:jc w:val="left"/>
            </w:pPr>
            <w:r>
              <w:rPr>
                <w:rFonts w:ascii="Times New Roman" w:hAnsi="Times New Roman" w:eastAsia="Noto Serif CJK SC" w:cs="Times New Roman"/>
                <w:b w:val="0"/>
                <w:sz w:val="15"/>
              </w:rPr>
              <w:t>U-Net / 官方基准</w:t>
            </w:r>
          </w:p>
        </w:tc>
        <w:tc>
          <w:tcPr>
            <w:tcW w:type="dxa" w:w="1296"/>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[待补充/引用值]</w:t>
            </w:r>
          </w:p>
        </w:tc>
        <w:tc>
          <w:tcPr>
            <w:tcW w:type="dxa" w:w="1296"/>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[待补充/引用值]</w:t>
            </w:r>
          </w:p>
        </w:tc>
        <w:tc>
          <w:tcPr>
            <w:tcW w:type="dxa" w:w="1296"/>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[待补充/引用值]</w:t>
            </w:r>
          </w:p>
        </w:tc>
        <w:tc>
          <w:tcPr>
            <w:tcW w:type="dxa" w:w="1296"/>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[待补充/引用值]</w:t>
            </w:r>
          </w:p>
        </w:tc>
        <w:tc>
          <w:tcPr>
            <w:tcW w:type="dxa" w:w="1296"/>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[待补充/引用值]</w:t>
            </w:r>
          </w:p>
        </w:tc>
      </w:tr>
      <w:tr>
        <w:trPr>
          <w:cantSplit/>
        </w:trPr>
        <w:tc>
          <w:tcPr>
            <w:tcW w:type="dxa" w:w="3168"/>
            <w:tcMar>
              <w:top w:w="35" w:type="dxa"/>
              <w:start w:w="32" w:type="dxa"/>
              <w:bottom w:w="35" w:type="dxa"/>
              <w:end w:w="32" w:type="dxa"/>
            </w:tcMar>
          </w:tcPr>
          <w:p>
            <w:pPr>
              <w:jc w:val="left"/>
            </w:pPr>
            <w:r>
              <w:rPr>
                <w:rFonts w:ascii="Times New Roman" w:hAnsi="Times New Roman" w:eastAsia="Noto Serif CJK SC" w:cs="Times New Roman"/>
                <w:b w:val="0"/>
                <w:sz w:val="15"/>
              </w:rPr>
              <w:t>TransUNet / 官方基准</w:t>
            </w:r>
          </w:p>
        </w:tc>
        <w:tc>
          <w:tcPr>
            <w:tcW w:type="dxa" w:w="1296"/>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[待补充/引用值]</w:t>
            </w:r>
          </w:p>
        </w:tc>
        <w:tc>
          <w:tcPr>
            <w:tcW w:type="dxa" w:w="1296"/>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[待补充/引用值]</w:t>
            </w:r>
          </w:p>
        </w:tc>
        <w:tc>
          <w:tcPr>
            <w:tcW w:type="dxa" w:w="1296"/>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[待补充/引用值]</w:t>
            </w:r>
          </w:p>
        </w:tc>
        <w:tc>
          <w:tcPr>
            <w:tcW w:type="dxa" w:w="1296"/>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[待补充/引用值]</w:t>
            </w:r>
          </w:p>
        </w:tc>
        <w:tc>
          <w:tcPr>
            <w:tcW w:type="dxa" w:w="1296"/>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[待补充/引用值]</w:t>
            </w:r>
          </w:p>
        </w:tc>
      </w:tr>
      <w:tr>
        <w:trPr>
          <w:cantSplit/>
        </w:trPr>
        <w:tc>
          <w:tcPr>
            <w:tcW w:type="dxa" w:w="3168"/>
            <w:tcMar>
              <w:top w:w="35" w:type="dxa"/>
              <w:start w:w="32" w:type="dxa"/>
              <w:bottom w:w="35" w:type="dxa"/>
              <w:end w:w="32" w:type="dxa"/>
            </w:tcMar>
          </w:tcPr>
          <w:p>
            <w:pPr>
              <w:jc w:val="left"/>
            </w:pPr>
            <w:r>
              <w:rPr>
                <w:rFonts w:ascii="Times New Roman" w:hAnsi="Times New Roman" w:eastAsia="Noto Serif CJK SC" w:cs="Times New Roman"/>
                <w:b w:val="0"/>
                <w:sz w:val="15"/>
              </w:rPr>
              <w:t>Swin-UMamba / 官方基准</w:t>
            </w:r>
          </w:p>
        </w:tc>
        <w:tc>
          <w:tcPr>
            <w:tcW w:type="dxa" w:w="1296"/>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[待补充/引用值]</w:t>
            </w:r>
          </w:p>
        </w:tc>
        <w:tc>
          <w:tcPr>
            <w:tcW w:type="dxa" w:w="1296"/>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[待补充/引用值]</w:t>
            </w:r>
          </w:p>
        </w:tc>
        <w:tc>
          <w:tcPr>
            <w:tcW w:type="dxa" w:w="1296"/>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[待补充/引用值]</w:t>
            </w:r>
          </w:p>
        </w:tc>
        <w:tc>
          <w:tcPr>
            <w:tcW w:type="dxa" w:w="1296"/>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[待补充/引用值]</w:t>
            </w:r>
          </w:p>
        </w:tc>
        <w:tc>
          <w:tcPr>
            <w:tcW w:type="dxa" w:w="1296"/>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[待补充/引用值]</w:t>
            </w:r>
          </w:p>
        </w:tc>
      </w:tr>
      <w:tr>
        <w:trPr>
          <w:cantSplit/>
        </w:trPr>
        <w:tc>
          <w:tcPr>
            <w:tcW w:type="dxa" w:w="3168"/>
            <w:tcMar>
              <w:top w:w="35" w:type="dxa"/>
              <w:start w:w="32" w:type="dxa"/>
              <w:bottom w:w="35" w:type="dxa"/>
              <w:end w:w="32" w:type="dxa"/>
            </w:tcMar>
          </w:tcPr>
          <w:p>
            <w:pPr>
              <w:jc w:val="left"/>
            </w:pPr>
            <w:r>
              <w:rPr>
                <w:rFonts w:ascii="Times New Roman" w:hAnsi="Times New Roman" w:eastAsia="Noto Serif CJK SC" w:cs="Times New Roman"/>
                <w:b w:val="0"/>
                <w:sz w:val="15"/>
              </w:rPr>
              <w:t>DualPriorSeg + 最佳骨干</w:t>
            </w:r>
          </w:p>
        </w:tc>
        <w:tc>
          <w:tcPr>
            <w:tcW w:type="dxa" w:w="1296"/>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296"/>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296"/>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296"/>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c>
          <w:tcPr>
            <w:tcW w:type="dxa" w:w="1296"/>
            <w:tcMar>
              <w:top w:w="35" w:type="dxa"/>
              <w:start w:w="32" w:type="dxa"/>
              <w:bottom w:w="35" w:type="dxa"/>
              <w:end w:w="32" w:type="dxa"/>
            </w:tcMar>
          </w:tcPr>
          <w:p>
            <w:pPr>
              <w:jc w:val="center"/>
            </w:pPr>
            <w:r>
              <w:rPr>
                <w:rFonts w:ascii="Times New Roman" w:hAnsi="Times New Roman" w:eastAsia="Noto Serif CJK SC" w:cs="Times New Roman"/>
                <w:b/>
                <w:color w:val="C00000"/>
                <w:sz w:val="15"/>
              </w:rPr>
              <w:t>[待补充]</w:t>
            </w:r>
          </w:p>
        </w:tc>
      </w:tr>
    </w:tbl>
    <w:p>
      <w:pPr>
        <w:spacing w:before="20" w:after="60"/>
        <w:jc w:val="both"/>
      </w:pPr>
      <w:r>
        <w:rPr>
          <w:rFonts w:ascii="Times New Roman" w:hAnsi="Times New Roman" w:eastAsia="Noto Serif CJK SC" w:cs="Times New Roman"/>
          <w:b w:val="0"/>
          <w:i w:val="0"/>
          <w:sz w:val="15"/>
        </w:rPr>
        <w:t>已发表基准行必须严格依据 RAM-W600 官方论文、并使用完全相同的指标定义进行引用。本文最终结果行必须来自验证阶段完成模型选择后冻结的配置，并仅在官方 test split 上进行一次正式评价。</w:t>
      </w:r>
    </w:p>
    <w:p>
      <w:pPr>
        <w:sectPr>
          <w:type w:val="continuous"/>
          <w:pgSz w:w="12240" w:h="15840"/>
          <w:pgMar w:top="922" w:right="965" w:bottom="893" w:left="965" w:header="360" w:footer="360" w:gutter="0"/>
          <w:cols w:space="280" w:num="1"/>
          <w:docGrid w:linePitch="360"/>
        </w:sectPr>
      </w:pPr>
    </w:p>
    <w:p>
      <w:pPr>
        <w:keepNext/>
        <w:spacing w:before="100" w:after="30"/>
        <w:jc w:val="center"/>
      </w:pPr>
      <w:r>
        <w:rPr>
          <w:rFonts w:ascii="Times New Roman" w:hAnsi="Times New Roman" w:eastAsia="Noto Sans CJK SC" w:cs="Times New Roman"/>
          <w:b/>
          <w:i w:val="0"/>
          <w:sz w:val="22"/>
        </w:rPr>
        <w:t>与 RAM-W600 强基线的比较</w:t>
      </w:r>
    </w:p>
    <w:p>
      <w:pPr>
        <w:pStyle w:val="BodyText"/>
        <w:keepLines w:val="0"/>
        <w:spacing w:after="0" w:before="0" w:line="240" w:lineRule="auto"/>
        <w:ind w:firstLine="230"/>
        <w:jc w:val="both"/>
      </w:pPr>
      <w:r>
        <w:rPr>
          <w:rFonts w:ascii="Times New Roman" w:hAnsi="Times New Roman" w:eastAsia="Noto Serif CJK SC" w:cs="Times New Roman"/>
          <w:b w:val="0"/>
          <w:i w:val="0"/>
          <w:sz w:val="18"/>
        </w:rPr>
        <w:t>RAM-W600 提供了与强监督架构直接比较的公开基准。表4将把最终 DualPriorSeg 配置与官方公布的代表性卷积网络、Transformer 和 Mamba 系统进行比较。当本方法处于已发表结果的领先区间、但并未在所有指标上占优时，我们使用“与当前先进架构具有竞争力”的表述；只有当官方测试结果在匹配定义下明确超过已发表基准时，才采用更强的 SOTA 表述。最终结果表述：</w:t>
      </w:r>
      <w:r>
        <w:rPr>
          <w:rFonts w:ascii="Times New Roman" w:hAnsi="Times New Roman" w:eastAsia="Noto Serif CJK SC" w:cs="Times New Roman"/>
          <w:b/>
          <w:i w:val="0"/>
          <w:color w:val="C00000"/>
          <w:sz w:val="18"/>
        </w:rPr>
        <w:t>[待补充]</w:t>
      </w:r>
      <w:r>
        <w:rPr>
          <w:rFonts w:ascii="Times New Roman" w:hAnsi="Times New Roman" w:eastAsia="Noto Serif CJK SC" w:cs="Times New Roman"/>
          <w:b w:val="0"/>
          <w:i w:val="0"/>
          <w:sz w:val="18"/>
        </w:rPr>
        <w:t>。</w:t>
      </w:r>
    </w:p>
    <w:p>
      <w:pPr>
        <w:sectPr>
          <w:type w:val="continuous"/>
          <w:pgSz w:w="12240" w:h="15840"/>
          <w:pgMar w:top="922" w:right="965" w:bottom="893" w:left="965" w:header="360" w:footer="360" w:gutter="0"/>
          <w:cols w:space="280" w:num="2"/>
          <w:docGrid w:linePitch="360"/>
        </w:sectPr>
      </w:pPr>
    </w:p>
    <w:tbl>
      <w:tblPr>
        <w:tblW w:type="auto" w:w="0"/>
        <w:jc w:val="center"/>
        <w:tblLayout w:type="fixed"/>
        <w:tblLook w:firstColumn="1" w:firstRow="1" w:lastColumn="0" w:lastRow="0" w:noHBand="0" w:noVBand="1" w:val="04A0"/>
      </w:tblPr>
      <w:tblGrid>
        <w:gridCol w:w="10310"/>
      </w:tblGrid>
      <w:tr>
        <w:trPr>
          <w:trHeight w:val="3600" w:hRule="atLeast"/>
        </w:trPr>
        <w:tc>
          <w:tcPr>
            <w:tcW w:type="dxa" w:w="10080"/>
            <w:vAlign w:val="center"/>
            <w:shd w:fill="F3F3F3"/>
            <w:tcMar>
              <w:top w:w="100" w:type="dxa"/>
              <w:start w:w="100" w:type="dxa"/>
              <w:bottom w:w="100" w:type="dxa"/>
              <w:end w:w="100" w:type="dxa"/>
            </w:tcMar>
          </w:tcPr>
          <w:p>
            <w:pPr>
              <w:jc w:val="center"/>
            </w:pPr>
            <w:r>
              <w:rPr>
                <w:rFonts w:ascii="Times New Roman" w:hAnsi="Times New Roman" w:eastAsia="Noto Serif CJK SC" w:cs="Times New Roman"/>
                <w:b/>
                <w:color w:val="C00000"/>
                <w:sz w:val="20"/>
              </w:rPr>
              <w:t>[待补充 图3]</w:t>
            </w:r>
            <w:r>
              <w:rPr>
                <w:rFonts w:ascii="Times New Roman" w:hAnsi="Times New Roman" w:eastAsia="Noto Serif CJK SC" w:cs="Times New Roman"/>
                <w:b/>
                <w:sz w:val="20"/>
              </w:rPr>
              <w:br/>
              <w:t>TSRS 与 RAM-W600 定性结果及误差叠加图</w:t>
            </w:r>
          </w:p>
        </w:tc>
      </w:tr>
    </w:tbl>
    <w:p>
      <w:pPr>
        <w:spacing w:before="40" w:after="60"/>
        <w:jc w:val="both"/>
      </w:pPr>
      <w:r>
        <w:rPr>
          <w:rFonts w:ascii="Times New Roman" w:hAnsi="Times New Roman" w:eastAsia="Noto Serif CJK SC" w:cs="Times New Roman"/>
          <w:b w:val="0"/>
          <w:i w:val="0"/>
          <w:sz w:val="17"/>
        </w:rPr>
        <w:t>图3：定性结果。建议布局为：X线图像、Ground Truth、匹配骨干网络预测、Seam-Only 预测、Dual-Prior 预测以及误差叠加图。应同时展示成功样例和失败样例，并突出 TSRS 中狭窄骨缝的错误桥接以及 RAM-W600 中投影重叠区域的补全效果。</w:t>
      </w:r>
    </w:p>
    <w:p>
      <w:pPr>
        <w:sectPr>
          <w:type w:val="continuous"/>
          <w:pgSz w:w="12240" w:h="15840"/>
          <w:pgMar w:top="922" w:right="965" w:bottom="893" w:left="965" w:header="360" w:footer="360" w:gutter="0"/>
          <w:cols w:space="280" w:num="1"/>
          <w:docGrid w:linePitch="360"/>
        </w:sectPr>
      </w:pPr>
    </w:p>
    <w:p>
      <w:pPr>
        <w:keepNext/>
        <w:spacing w:before="100" w:after="30"/>
        <w:jc w:val="center"/>
      </w:pPr>
      <w:r>
        <w:rPr>
          <w:rFonts w:ascii="Times New Roman" w:hAnsi="Times New Roman" w:eastAsia="Noto Sans CJK SC" w:cs="Times New Roman"/>
          <w:b/>
          <w:i w:val="0"/>
          <w:sz w:val="22"/>
        </w:rPr>
        <w:t>定性分析</w:t>
      </w:r>
    </w:p>
    <w:p>
      <w:pPr>
        <w:pStyle w:val="BodyText"/>
        <w:keepLines w:val="0"/>
        <w:spacing w:after="0" w:before="0" w:line="240" w:lineRule="auto"/>
        <w:ind w:firstLine="230"/>
        <w:jc w:val="both"/>
      </w:pPr>
      <w:r>
        <w:rPr>
          <w:rFonts w:ascii="Times New Roman" w:hAnsi="Times New Roman" w:eastAsia="Noto Serif CJK SC" w:cs="Times New Roman"/>
          <w:b w:val="0"/>
          <w:i w:val="0"/>
          <w:sz w:val="18"/>
        </w:rPr>
        <w:t>图3应直观展示聚合指标背后的具体机制。对于 TSRS，代表性样例应说明模型能否在不侵蚀两侧前景的情况下保留狭窄背景走廊；对于 RAM-W600，则应展示细化器能否恢复缺失成员，同时避免无差别扩张前景。失败案例同样重要：潜在错误包括当骨缝证据与真实投影歧义重叠时产生过度抑制，以及迁移重叠先验置信度过高时产生错误补全。</w:t>
      </w:r>
      <w:r>
        <w:rPr>
          <w:rFonts w:ascii="Times New Roman" w:hAnsi="Times New Roman" w:eastAsia="Noto Serif CJK SC" w:cs="Times New Roman"/>
          <w:b/>
          <w:i w:val="0"/>
          <w:color w:val="C00000"/>
          <w:sz w:val="18"/>
        </w:rPr>
        <w:t>[待补充：冻结测试集后填入最终病例级观察。]</w:t>
      </w:r>
    </w:p>
    <w:p>
      <w:pPr>
        <w:keepNext/>
        <w:spacing w:before="100" w:after="30"/>
        <w:jc w:val="center"/>
      </w:pPr>
      <w:r>
        <w:rPr>
          <w:rFonts w:ascii="Times New Roman" w:hAnsi="Times New Roman" w:eastAsia="Noto Sans CJK SC" w:cs="Times New Roman"/>
          <w:b/>
          <w:i w:val="0"/>
          <w:sz w:val="22"/>
        </w:rPr>
        <w:t>局限性</w:t>
      </w:r>
    </w:p>
    <w:p>
      <w:pPr>
        <w:pStyle w:val="BodyText"/>
        <w:keepLines w:val="0"/>
        <w:spacing w:after="0" w:before="0" w:line="240" w:lineRule="auto"/>
        <w:ind w:firstLine="230"/>
        <w:jc w:val="both"/>
      </w:pPr>
      <w:r>
        <w:rPr>
          <w:rFonts w:ascii="Times New Roman" w:hAnsi="Times New Roman" w:eastAsia="Noto Serif CJK SC" w:cs="Times New Roman"/>
          <w:b w:val="0"/>
          <w:i w:val="0"/>
          <w:sz w:val="18"/>
        </w:rPr>
        <w:t>DualPriorSeg 仍存在若干局限。第一，骨缝先验本身也是估计结果，可能出现错误，因此方法依赖保守的残差适配与保真约束。第二，真实重叠监督只存在于 RAM-W600，而 TSRS 不具备可观测的真实重叠归属，因此跨数据集重叠迁移只能作为弱证据，而不能视为被直接验证的解剖标签。第三，骨干无关接口并不意味着不同骨干可以共享完全相同的最优超参数，最终研究必须区分“可迁移性”与“逐模型重新调参”。第四，当前评价范围仅限于手部与腕部X线图像，尚未验证对其他投影解剖区域的泛化能力。最后，本文提出的梯度路由只能缓解优化冲突，无法从数学上保证在未见数据上绝不退化。</w:t>
      </w:r>
    </w:p>
    <w:p>
      <w:pPr>
        <w:keepNext/>
        <w:spacing w:before="100" w:after="30"/>
        <w:jc w:val="center"/>
      </w:pPr>
      <w:r>
        <w:rPr>
          <w:rFonts w:ascii="Times New Roman" w:hAnsi="Times New Roman" w:eastAsia="Noto Sans CJK SC" w:cs="Times New Roman"/>
          <w:b/>
          <w:i w:val="0"/>
          <w:sz w:val="22"/>
        </w:rPr>
        <w:t>结论</w:t>
      </w:r>
    </w:p>
    <w:p>
      <w:pPr>
        <w:pStyle w:val="BodyText"/>
        <w:keepLines w:val="0"/>
        <w:spacing w:after="0" w:before="0" w:line="240" w:lineRule="auto"/>
        <w:ind w:firstLine="230"/>
        <w:jc w:val="both"/>
      </w:pPr>
      <w:r>
        <w:rPr>
          <w:rFonts w:ascii="Times New Roman" w:hAnsi="Times New Roman" w:eastAsia="Noto Serif CJK SC" w:cs="Times New Roman"/>
          <w:b w:val="0"/>
          <w:i w:val="0"/>
          <w:sz w:val="18"/>
        </w:rPr>
        <w:t>本文提出 DualPriorSeg，一种面向精细手部与腕部骨骼分割的双结构先验框架。该方法将两类互补的X线分割失效显式分离：输入端骨缝先验用于抑制错误桥接，输出端重叠先验用于补全存在歧义或相互叠加的骨骼成员归属。两个先验只通过图像与 logit 接口和分割模型交互，因此同一套框架能够包裹多种通用骨干网络。监督可用性机制避免将前景并集标注误解释为真实重叠标签，保真约束和主梯度锚定式路由则用于减少破坏性辅助更新。在 TSRS 与 RAM-W600 上，最终实验显示</w:t>
      </w:r>
      <w:r>
        <w:rPr>
          <w:rFonts w:ascii="Times New Roman" w:hAnsi="Times New Roman" w:eastAsia="Noto Serif CJK SC" w:cs="Times New Roman"/>
          <w:b/>
          <w:i w:val="0"/>
          <w:color w:val="C00000"/>
          <w:sz w:val="18"/>
        </w:rPr>
        <w:t>[待补充：精炼的最终定量结论]</w:t>
      </w:r>
      <w:r>
        <w:rPr>
          <w:rFonts w:ascii="Times New Roman" w:hAnsi="Times New Roman" w:eastAsia="Noto Serif CJK SC" w:cs="Times New Roman"/>
          <w:b w:val="0"/>
          <w:i w:val="0"/>
          <w:sz w:val="18"/>
        </w:rPr>
        <w:t>。跨骨干结果表明</w:t>
      </w:r>
      <w:r>
        <w:rPr>
          <w:rFonts w:ascii="Times New Roman" w:hAnsi="Times New Roman" w:eastAsia="Noto Serif CJK SC" w:cs="Times New Roman"/>
          <w:b/>
          <w:i w:val="0"/>
          <w:color w:val="C00000"/>
          <w:sz w:val="18"/>
        </w:rPr>
        <w:t>[待补充：可迁移性结论]</w:t>
      </w:r>
      <w:r>
        <w:rPr>
          <w:rFonts w:ascii="Times New Roman" w:hAnsi="Times New Roman" w:eastAsia="Noto Serif CJK SC" w:cs="Times New Roman"/>
          <w:b w:val="0"/>
          <w:i w:val="0"/>
          <w:sz w:val="18"/>
        </w:rPr>
        <w:t>，RAM-W600 官方基准比较进一步表明</w:t>
      </w:r>
      <w:r>
        <w:rPr>
          <w:rFonts w:ascii="Times New Roman" w:hAnsi="Times New Roman" w:eastAsia="Noto Serif CJK SC" w:cs="Times New Roman"/>
          <w:b/>
          <w:i w:val="0"/>
          <w:color w:val="C00000"/>
          <w:sz w:val="18"/>
        </w:rPr>
        <w:t>[待补充：竞争力结论]</w:t>
      </w:r>
      <w:r>
        <w:rPr>
          <w:rFonts w:ascii="Times New Roman" w:hAnsi="Times New Roman" w:eastAsia="Noto Serif CJK SC" w:cs="Times New Roman"/>
          <w:b w:val="0"/>
          <w:i w:val="0"/>
          <w:sz w:val="18"/>
        </w:rPr>
        <w:t>。这些结果说明，当局部解剖分离和投影重叠仍难以仅凭基础分割目标充分学习时，显式结构先验能够有效补充日益强大的分割骨干网络。</w:t>
      </w:r>
    </w:p>
    <w:p>
      <w:pPr>
        <w:keepNext/>
        <w:spacing w:before="100" w:after="30"/>
        <w:jc w:val="center"/>
      </w:pPr>
      <w:r>
        <w:rPr>
          <w:rFonts w:ascii="Times New Roman" w:hAnsi="Times New Roman" w:eastAsia="Noto Sans CJK SC" w:cs="Times New Roman"/>
          <w:b/>
          <w:i w:val="0"/>
          <w:sz w:val="22"/>
        </w:rPr>
        <w:t>参考文献</w:t>
      </w:r>
    </w:p>
    <w:p>
      <w:pPr>
        <w:pStyle w:val="BodyText"/>
        <w:spacing w:after="10"/>
        <w:ind w:left="187" w:hanging="187"/>
        <w:jc w:val="both"/>
      </w:pPr>
      <w:r>
        <w:rPr>
          <w:rFonts w:ascii="Times New Roman" w:hAnsi="Times New Roman" w:eastAsia="Noto Serif CJK SC" w:cs="Times New Roman"/>
          <w:b w:val="0"/>
          <w:i w:val="0"/>
          <w:sz w:val="16"/>
        </w:rPr>
        <w:t>Cheng, B.; Girshick, R.; Dollár, P.; Berg, A. C.; and Kirillov, A. 2021. Boundary IoU: Improving Object-Centric Image Segmentation Evaluation. In IEEE/CVF Conference on Computer Vision and Pattern Recognition (CVPR).</w:t>
      </w:r>
    </w:p>
    <w:p>
      <w:pPr>
        <w:pStyle w:val="BodyText"/>
        <w:spacing w:after="10"/>
        <w:ind w:left="187" w:hanging="187"/>
        <w:jc w:val="both"/>
      </w:pPr>
      <w:r>
        <w:rPr>
          <w:rFonts w:ascii="Times New Roman" w:hAnsi="Times New Roman" w:eastAsia="Noto Serif CJK SC" w:cs="Times New Roman"/>
          <w:b w:val="0"/>
          <w:i w:val="0"/>
          <w:sz w:val="16"/>
        </w:rPr>
        <w:t>Chen, J.; Lu, Y.; Yu, Q.; Luo, X.; Adeli, E.; Wang, Y.; Lu, L.; Yuille, A. L.; and Zhou, Y. 2021. TransUNet: Transformers Make Strong Encoders for Medical Image Segmentation. arXiv:2102.04306.</w:t>
      </w:r>
    </w:p>
    <w:p>
      <w:pPr>
        <w:pStyle w:val="BodyText"/>
        <w:spacing w:after="10"/>
        <w:ind w:left="187" w:hanging="187"/>
        <w:jc w:val="both"/>
      </w:pPr>
      <w:r>
        <w:rPr>
          <w:rFonts w:ascii="Times New Roman" w:hAnsi="Times New Roman" w:eastAsia="Noto Serif CJK SC" w:cs="Times New Roman"/>
          <w:b w:val="0"/>
          <w:i w:val="0"/>
          <w:sz w:val="16"/>
        </w:rPr>
        <w:t>Dice, L. R. 1945. Measures of the amount of ecologic association between species. Ecology, 26(3): 297–302.</w:t>
      </w:r>
    </w:p>
    <w:p>
      <w:pPr>
        <w:pStyle w:val="BodyText"/>
        <w:spacing w:after="10"/>
        <w:ind w:left="187" w:hanging="187"/>
        <w:jc w:val="both"/>
      </w:pPr>
      <w:r>
        <w:rPr>
          <w:rFonts w:ascii="Times New Roman" w:hAnsi="Times New Roman" w:eastAsia="Noto Serif CJK SC" w:cs="Times New Roman"/>
          <w:b w:val="0"/>
          <w:i w:val="0"/>
          <w:sz w:val="16"/>
        </w:rPr>
        <w:t>Isensee, F.; Jaeger, P. F.; Kohl, S. A. A.; Petersen, J.; and Maier-Hein, K. H. 2021. nnU-Net: a self-configuring method for deep learning-based biomedical image segmentation. Nature Methods, 18: 203–211.</w:t>
      </w:r>
    </w:p>
    <w:p>
      <w:pPr>
        <w:pStyle w:val="BodyText"/>
        <w:spacing w:after="10"/>
        <w:ind w:left="187" w:hanging="187"/>
        <w:jc w:val="both"/>
      </w:pPr>
      <w:r>
        <w:rPr>
          <w:rFonts w:ascii="Times New Roman" w:hAnsi="Times New Roman" w:eastAsia="Noto Serif CJK SC" w:cs="Times New Roman"/>
          <w:b w:val="0"/>
          <w:i w:val="0"/>
          <w:sz w:val="16"/>
        </w:rPr>
        <w:t>Kirillov, A.; Mintun, E.; Ravi, N.; Mao, H.; Rolland, C.; Gustafson, L.; Xiao, T.; Whitehead, S.; Berg, A. C.; Lo, W.-Y.; Dollár, P.; and Girshick, R. 2023. Segment Anything. In IEEE/CVF International Conference on Computer Vision (ICCV).</w:t>
      </w:r>
    </w:p>
    <w:p>
      <w:pPr>
        <w:pStyle w:val="BodyText"/>
        <w:spacing w:after="10"/>
        <w:ind w:left="187" w:hanging="187"/>
        <w:jc w:val="both"/>
      </w:pPr>
      <w:r>
        <w:rPr>
          <w:rFonts w:ascii="Times New Roman" w:hAnsi="Times New Roman" w:eastAsia="Noto Serif CJK SC" w:cs="Times New Roman"/>
          <w:b w:val="0"/>
          <w:i w:val="0"/>
          <w:sz w:val="16"/>
        </w:rPr>
        <w:t>Liu, J.; Yang, H.; Zhou, H.-Y.; Xi, Y.; Yu, L.; Yu, Y.; Liang, Y.; Shi, G.; Zhang, S.; Zheng, H.; and Wang, S. 2024. Swin-UMamba: Mamba-based UNet with ImageNet-based pretraining. arXiv:2402.03302.</w:t>
      </w:r>
    </w:p>
    <w:p>
      <w:pPr>
        <w:pStyle w:val="BodyText"/>
        <w:spacing w:after="10"/>
        <w:ind w:left="187" w:hanging="187"/>
        <w:jc w:val="both"/>
      </w:pPr>
      <w:r>
        <w:rPr>
          <w:rFonts w:ascii="Times New Roman" w:hAnsi="Times New Roman" w:eastAsia="Noto Serif CJK SC" w:cs="Times New Roman"/>
          <w:b w:val="0"/>
          <w:i w:val="0"/>
          <w:sz w:val="16"/>
        </w:rPr>
        <w:t>Ma, J.; He, Y.; Li, F.; Han, L.; You, C.; and Wang, B. 2024. Segment anything in medical images. Nature Communications, 15: 654.</w:t>
      </w:r>
    </w:p>
    <w:p>
      <w:pPr>
        <w:pStyle w:val="BodyText"/>
        <w:spacing w:after="10"/>
        <w:ind w:left="187" w:hanging="187"/>
        <w:jc w:val="both"/>
      </w:pPr>
      <w:r>
        <w:rPr>
          <w:rFonts w:ascii="Times New Roman" w:hAnsi="Times New Roman" w:eastAsia="Noto Serif CJK SC" w:cs="Times New Roman"/>
          <w:b w:val="0"/>
          <w:i w:val="0"/>
          <w:sz w:val="16"/>
        </w:rPr>
        <w:t>Maier-Hein, L.; Reinke, A.; Godau, P.; et al. 2024. Metrics reloaded: recommendations for image analysis validation. Nature Methods, 21: 195–212.</w:t>
      </w:r>
    </w:p>
    <w:p>
      <w:pPr>
        <w:pStyle w:val="BodyText"/>
        <w:spacing w:after="10"/>
        <w:ind w:left="187" w:hanging="187"/>
        <w:jc w:val="both"/>
      </w:pPr>
      <w:r>
        <w:rPr>
          <w:rFonts w:ascii="Times New Roman" w:hAnsi="Times New Roman" w:eastAsia="Noto Serif CJK SC" w:cs="Times New Roman"/>
          <w:b w:val="0"/>
          <w:i w:val="0"/>
          <w:sz w:val="16"/>
        </w:rPr>
        <w:t>Nikolov, S.; Blackwell, S.; Zverovitch, A.; et al. 2018. Deep learning to achieve clinically applicable segmentation of head and neck anatomy for radiotherapy. arXiv:1809.04430.</w:t>
      </w:r>
    </w:p>
    <w:p>
      <w:pPr>
        <w:pStyle w:val="BodyText"/>
        <w:spacing w:after="10"/>
        <w:ind w:left="187" w:hanging="187"/>
        <w:jc w:val="both"/>
      </w:pPr>
      <w:r>
        <w:rPr>
          <w:rFonts w:ascii="Times New Roman" w:hAnsi="Times New Roman" w:eastAsia="Noto Serif CJK SC" w:cs="Times New Roman"/>
          <w:b w:val="0"/>
          <w:i w:val="0"/>
          <w:sz w:val="16"/>
        </w:rPr>
        <w:t>Ronneberger, O.; Fischer, P.; and Brox, T. 2015. U-Net: Convolutional Networks for Biomedical Image Segmentation. In Medical Image Computing and Computer-Assisted Intervention (MICCAI), 234–241.</w:t>
      </w:r>
    </w:p>
    <w:p>
      <w:pPr>
        <w:pStyle w:val="BodyText"/>
        <w:spacing w:after="10"/>
        <w:ind w:left="187" w:hanging="187"/>
        <w:jc w:val="both"/>
      </w:pPr>
      <w:r>
        <w:rPr>
          <w:rFonts w:ascii="Times New Roman" w:hAnsi="Times New Roman" w:eastAsia="Noto Serif CJK SC" w:cs="Times New Roman"/>
          <w:b w:val="0"/>
          <w:i w:val="0"/>
          <w:sz w:val="16"/>
        </w:rPr>
        <w:t>Yang, S.; Wang, H.; Fu, Y.; Tian, Y.; Kamishima, T.; Ikebe, M.; Ou, Y.; and Okutomi, M. 2026. RAM-W600: A Multi-Task Wrist Dataset and Benchmark for Rheumatoid Arthritis. Advances in Neural Information Processing Systems, 38 (Datasets and Benchmarks Track).</w:t>
      </w:r>
    </w:p>
    <w:p>
      <w:pPr>
        <w:pStyle w:val="BodyText"/>
        <w:spacing w:after="10"/>
        <w:ind w:left="187" w:hanging="187"/>
        <w:jc w:val="both"/>
      </w:pPr>
      <w:r>
        <w:rPr>
          <w:rFonts w:ascii="Times New Roman" w:hAnsi="Times New Roman" w:eastAsia="Noto Serif CJK SC" w:cs="Times New Roman"/>
          <w:b w:val="0"/>
          <w:i w:val="0"/>
          <w:sz w:val="16"/>
        </w:rPr>
        <w:t>Yu, T.; Kumar, S.; Gupta, A.; Levine, S.; Hausman, K.; and Finn, C. 2020. Gradient Surgery for Multi-Task Learning. Advances in Neural Information Processing Systems, 33.</w:t>
      </w:r>
    </w:p>
    <w:p>
      <w:pPr>
        <w:pStyle w:val="BodyText"/>
        <w:spacing w:after="10"/>
        <w:ind w:left="187" w:hanging="187"/>
        <w:jc w:val="both"/>
      </w:pPr>
      <w:r>
        <w:rPr>
          <w:rFonts w:ascii="Times New Roman" w:hAnsi="Times New Roman" w:eastAsia="Noto Serif CJK SC" w:cs="Times New Roman"/>
          <w:b/>
          <w:i w:val="0"/>
          <w:color w:val="C00000"/>
          <w:sz w:val="16"/>
        </w:rPr>
        <w:t>[待补充]</w:t>
      </w:r>
      <w:r>
        <w:rPr>
          <w:rFonts w:ascii="Times New Roman" w:hAnsi="Times New Roman" w:eastAsia="Noto Serif CJK SC" w:cs="Times New Roman"/>
          <w:b w:val="0"/>
          <w:i w:val="0"/>
          <w:sz w:val="16"/>
        </w:rPr>
        <w:t xml:space="preserve"> TSRS 数据集正式引用及标注协议引用。</w:t>
      </w:r>
    </w:p>
    <w:p>
      <w:pPr>
        <w:pStyle w:val="BodyText"/>
        <w:spacing w:after="10"/>
        <w:ind w:left="187" w:hanging="187"/>
        <w:jc w:val="both"/>
      </w:pPr>
      <w:r>
        <w:rPr>
          <w:rFonts w:ascii="Times New Roman" w:hAnsi="Times New Roman" w:eastAsia="Noto Serif CJK SC" w:cs="Times New Roman"/>
          <w:b/>
          <w:i w:val="0"/>
          <w:color w:val="C00000"/>
          <w:sz w:val="16"/>
        </w:rPr>
        <w:t>[待补充]</w:t>
      </w:r>
      <w:r>
        <w:rPr>
          <w:rFonts w:ascii="Times New Roman" w:hAnsi="Times New Roman" w:eastAsia="Noto Serif CJK SC" w:cs="Times New Roman"/>
          <w:b w:val="0"/>
          <w:i w:val="0"/>
          <w:sz w:val="16"/>
        </w:rPr>
        <w:t xml:space="preserve"> 最终相关工作比较中使用的其他手部/腕部分割论文。</w:t>
      </w:r>
    </w:p>
    <w:p>
      <w:pPr>
        <w:sectPr>
          <w:type w:val="continuous"/>
          <w:pgSz w:w="12240" w:h="15840"/>
          <w:pgMar w:top="922" w:right="965" w:bottom="893" w:left="965" w:header="360" w:footer="360" w:gutter="0"/>
          <w:cols w:space="280" w:num="2"/>
          <w:docGrid w:linePitch="360"/>
        </w:sectPr>
      </w:pPr>
    </w:p>
    <w:sectPr w:rsidR="00FC693F" w:rsidRPr="0006063C" w:rsidSect="00034616">
      <w:type w:val="continuous"/>
      <w:pgSz w:w="12240" w:h="15840"/>
      <w:pgMar w:top="922" w:right="965" w:bottom="893" w:left="965" w:header="360" w:footer="360" w:gutter="0"/>
      <w:cols w:space="28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
    <w:name w:val="BodyText"/>
    <w:pPr>
      <w:spacing w:after="0" w:line="240" w:lineRule="auto"/>
    </w:pPr>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DualPriorSeg: Backbone-Agnostic Seam and Overlap Priors for Fine-Grained Hand and Wrist Bone Segmentation</dc:title>
  <dc:subject>Draft research paper with placeholders for final experiments</dc:subject>
  <dc:creator>Anonymous</dc:creator>
  <cp:keywords/>
  <dc:description>Draft generated from the current DualPriorSeg/R351 project state. Replace all [TBD] fields before submission.</dc:description>
  <cp:lastModifiedBy/>
  <cp:revision>1</cp:revision>
  <dcterms:created xsi:type="dcterms:W3CDTF">2013-12-23T23:15:00Z</dcterms:created>
  <dcterms:modified xsi:type="dcterms:W3CDTF">2013-12-23T23:15:00Z</dcterms:modified>
  <cp:category/>
</cp:coreProperties>
</file>