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spacing w:after="80"/>
      </w:pPr>
      <w:r>
        <w:rPr>
          <w:rFonts w:ascii="Times New Roman" w:hAnsi="Times New Roman"/>
          <w:b/>
          <w:sz w:val="21"/>
        </w:rPr>
        <w:t>29541_reviewer</w:t>
        <w:br/>
        <w:t>Translating Clinical Rules into Anatomical Structure: Landmark-Relative Rectification for Nasal Polyp Grading</w:t>
      </w:r>
    </w:p>
    <w:p>
      <w:pPr>
        <w:pageBreakBefore w:val="0"/>
        <w:spacing w:after="80"/>
      </w:pPr>
      <w:r>
        <w:rPr>
          <w:rFonts w:ascii="Times New Roman" w:hAnsi="Times New Roman"/>
          <w:b/>
          <w:sz w:val="21"/>
        </w:rPr>
        <w:t>论文提出AnatoDepth，将鼻息肉评分（NPS）的文字临床规则转化为相对中鼻甲（MT）和下鼻甲（IT）的可计算解剖约束，并在基线模型不确定且解剖证据可靠时对冻结分级模型的logits进行后置修正。整体思路具有临床意义、一定创新性和较好的可解释性，EndoNPS结果也显示出潜力。但目前关键数据、上游分割/深度模块、门控行为、跨任务适配和统计可靠性均说明不足，核心结论尚未被充分验证。因此建议大修（Major Revision）。</w:t>
      </w:r>
    </w:p>
    <w:p>
      <w:pPr>
        <w:pageBreakBefore w:val="0"/>
        <w:spacing w:after="80"/>
      </w:pPr>
      <w:r>
        <w:rPr>
          <w:rFonts w:ascii="Times New Roman" w:hAnsi="Times New Roman"/>
          <w:i w:val="0"/>
          <w:sz w:val="21"/>
        </w:rPr>
        <w:t>1、数据集信息不充分。文中仅报告EndoNPS包含5,382张图像，并称使用patient-disjoint划分，但没有报告患者总数、每个划分的患者数和图像数、五个等级的分布、中心/设备来源、纳排标准及重复图像处理方式。请补充完整队列流程和类别分布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2、整套方法依赖息肉、MT和IT掩膜，但论文没有充分说明独立分割网络的结构、训练集标注规模、标注协议和性能。应分别报告polyp/MT/IT的Dice、边界或表面指标，以及landmark可见性识别性能，并分析分割误差如何传播到最终分级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3、相对深度分支的来源与训练策略不清楚。文中说明没有真实深度标注，却未明确深度模型采用何种预训练、是否在内镜数据上微调、冻结的具体模型及输入裁剪流程。Figure 5只有单个定性示例，不能证明裁剪对深度线索和最终NPS性能的稳定贡献。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4、需要增加清晰的深度消融：使用完全相同的解剖边界特征，比较无深度、原始深度、裁剪后深度，并报告MAE/AUC及多次运行波动。否则AnatoDepth中“Depth”的独立贡献没有得到验证。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5、Table 3的模块组合和依赖关系需要澄清。AGDB依赖APDCE产生的解剖掩膜/深度/语义响应，EAGR又需要AGDB产生偏置；因此“AGDB单独启用”或“EAGR单独启用”的计算路径并不直观。此外正文交替使用RCOB和ROCB。请给出每个消融设置的精确定义并统一命名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6、当前对比不足以证明提升来自临床解剖规则，而不是普通的post-hoc校准。建议增加温度缩放、向量/Dirichlet calibration、基于baseline confidence的MLP、仅使用面积与置信度的容量匹配校正头，以及不含MT/IT相对距离的控制实验。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7、Evidence-Aware Gate是“安全修正”主张的核心，但没有报告门控覆盖率和净收益。请按总体和各等级报告触发率、错误→正确、正确→错误、未改变、平均修正幅度，并验证G=0时输出与基线完全一致。还应报告landmark缺失、分割置信度低和深度不稳定子集的结果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8、阈值prob_min、epsilon、lambda、b_max、A_min、q_min和rho_min均由验证集选择，但文中只展示三个参数的一维敏感性。请报告具体值、搜索范围/步长、选择目标及各数据集是否独立调参，避免多参数选择造成乐观偏差。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9、统计证据不足。结果未给出多次运行的均值±标准差、患者级bootstrap置信区间或显著性检验。由于同一患者可能有多张图，统计重采样和数据划分必须以患者为单位，不能把图像视为相互独立样本。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10、跨任务实验的可复现性不足。对于IDRiD和Digital Knee，作者只称重新定义了task-specific landmarks、rules和geometric descriptors，却没有说明具体landmark、规则公式、掩膜来源和标注成本。这两个数据集也不能替代EndoNPS的多中心外部验证，应收缩“泛化”表述。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11、临床标注信息不足。请报告NPS标签和结构掩膜由多少名ENT专家标注、是否盲法复核、分歧如何解决，以及评分一致性（如weighted kappa）。同时补充伦理审批/知情同意或豁免、去标识化和数据使用说明。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12、MAE适合有序误差，但ACC、macro-F1和one-vs-rest AUC不足以完整描述有序分类。建议补充weighted kappa、混淆矩阵、相邻/非相邻等级错误率及患者级95%置信区间，重点验证Mild–Moderate与Moderate–Severe边界。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13、论文应更清楚区分“相对深度线索”和真实三维解剖深度。现有文字总体较谨慎，但方法名AnatoDepth和部分描述仍可能使读者误解为三维重建或物理深度测量。建议在摘要、方法和局限性中进一步限定该主张。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14、定性分析不足。Figure 3应明确每个病例的GT、baseline预测、修正预测、MT/IT/polyp掩膜轮廓、门控值和d_MT/d_IT，并增加成功、无效修正和有害修正病例，而不只展示代表性成功样例。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15、建议增加独立Discussion部分，系统讨论单中心偏倚、内镜设备/视角变化、landmark不可见、鼻腔侧别、遮挡/反光/黏液、严重等级样本不平衡和自动分割失效等临床部署风险。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The manuscript proposes AnatoDepth, an interpretable rule-guided post-hoc rectification framework that translates textual NPS criteria into landmark-relative anatomical constraints. The idea is clinically meaningful and potentially novel, and the reported EndoNPS results are promising. However, the current evidence chain is incomplete: essential cohort information, upstream segmentation/depth validation, gate-level safety analysis, cross-task implementation details, calibration controls, and patient-level statistical uncertainty are missing. Therefore, I recommend Major Revision before the manuscript can be considered for publication.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1. The EndoNPS cohort is insufficiently described. Please report patient and image counts in each split, grade distribution, center/device sources, inclusion/exclusion criteria, and handling of repeated frames. A patient-level cohort flowchart is recommended.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2. The framework critically depends on polyp, MT, and IT masks, yet the segmentation model, annotation protocol, training sample size, and performance are not adequately reported. Please provide structure-wise Dice and boundary/surface metrics, landmark-visibility accuracy, and error propagation from parsing to grading.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3. The provenance and training of the monocular-depth branch are unclear. Specify the exact model, pretraining data, any endoscopic fine-tuning, frozen components, and cropping pipeline. A single qualitative example in Figure 5 is insufficient.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4. A controlled depth ablation is required: no depth versus original-image depth versus cropped-image depth, under otherwise identical anatomical features. Report repeated-run variability.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5. Clarify every Table 3 pathway. AGDB appears to depend on APDCE, while EAGR requires AGDB's bias. Correct the inconsistent RCOB/ROCB terminology and define the actual inputs for each row.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6. Include generic post-hoc calibration controls: temperature scaling, vector/Dirichlet calibration, a confidence-only MLP, an area/confidence-only capacity-matched head, and a control without MT/IT-relative distances.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7. Audit EAGR by reporting activation rates, wrong-to-correct and correct-to-wrong changes, unchanged cases, correction magnitudes, and grade/evidence-stratified results. Numerically verify exact baseline preservation when G=0.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8. Report values, search ranges, step sizes, and selection objectives for all thresholds and coefficients, and clarify whether each dataset was independently tuned.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9. Report repeated-run mean±SD, patient-level bootstrap confidence intervals, and paired tests. Multiple images from one patient must not be treated as independent observations.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10. Make the IDRiD and Digital Knee adaptations reproducible by specifying their landmarks, rules, descriptors, mask sources, and annotation cost. Do not use these tasks as a substitute for multi-center EndoNPS validation.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11. Report annotator expertise and number, blinded review/adjudication, inter-rater agreement, ethics approval, consent/waiver, de-identification, and data governance.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12. Add weighted kappa, confusion matrices, adjacent/non-adjacent grade errors, and patient-level 95% confidence intervals, emphasizing the targeted grade transitions.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13. More clearly distinguish auxiliary relative-depth cues from physical three-dimensional depth to avoid overstating what a monocular frame can provide.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14. Figure 3 should include GT, baseline/corrected grades, MT/IT/polyp contours, gate values, d_MT/d_IT, and successful, neutral, and harmful cases.</w:t>
      </w:r>
    </w:p>
    <w:p>
      <w:pPr>
        <w:pageBreakBefore w:val="0"/>
        <w:spacing w:after="80"/>
      </w:pPr>
      <w:r>
        <w:rPr>
          <w:rFonts w:ascii="Times New Roman" w:hAnsi="Times New Roman"/>
          <w:sz w:val="21"/>
        </w:rPr>
        <w:t>15. Add a dedicated Discussion of single-center bias, device/viewpoint shifts, landmark invisibility, laterality, occlusion/reflection/mucus, imbalance, segmentation failure, and deployment risks.</w:t>
        <w:br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EEDB7"/>
    <w:multiLevelType w:val="singleLevel"/>
    <w:tmpl w:val="DC4EEDB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FEC0C4D"/>
    <w:multiLevelType w:val="singleLevel"/>
    <w:tmpl w:val="5FEC0C4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7FD1421"/>
    <w:multiLevelType w:val="singleLevel"/>
    <w:tmpl w:val="67FD142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2BA0"/>
    <w:rsid w:val="00D64AE1"/>
    <w:rsid w:val="00D75CA9"/>
    <w:rsid w:val="00ED1E2A"/>
    <w:rsid w:val="01EA0118"/>
    <w:rsid w:val="02104022"/>
    <w:rsid w:val="027C5214"/>
    <w:rsid w:val="02886B37"/>
    <w:rsid w:val="02963DFC"/>
    <w:rsid w:val="02EB4148"/>
    <w:rsid w:val="03CE7CF1"/>
    <w:rsid w:val="04684391"/>
    <w:rsid w:val="056401E1"/>
    <w:rsid w:val="072E0AA7"/>
    <w:rsid w:val="07DC193F"/>
    <w:rsid w:val="08033BFA"/>
    <w:rsid w:val="0B7003AA"/>
    <w:rsid w:val="0CFA1B57"/>
    <w:rsid w:val="0D186481"/>
    <w:rsid w:val="0EBE2240"/>
    <w:rsid w:val="134373CC"/>
    <w:rsid w:val="13E65DFE"/>
    <w:rsid w:val="17650515"/>
    <w:rsid w:val="17742506"/>
    <w:rsid w:val="17884E38"/>
    <w:rsid w:val="183B1275"/>
    <w:rsid w:val="1A6507EC"/>
    <w:rsid w:val="1B8B42C2"/>
    <w:rsid w:val="1BA3139C"/>
    <w:rsid w:val="1BEC449D"/>
    <w:rsid w:val="1CB14393"/>
    <w:rsid w:val="1E025946"/>
    <w:rsid w:val="1E562965"/>
    <w:rsid w:val="20FD74DF"/>
    <w:rsid w:val="21E550D0"/>
    <w:rsid w:val="221B56B0"/>
    <w:rsid w:val="23EA427B"/>
    <w:rsid w:val="24B4658A"/>
    <w:rsid w:val="256C0CC0"/>
    <w:rsid w:val="28D728F5"/>
    <w:rsid w:val="298962E5"/>
    <w:rsid w:val="29C410CB"/>
    <w:rsid w:val="2A3F0751"/>
    <w:rsid w:val="2B597F39"/>
    <w:rsid w:val="2CAD5E46"/>
    <w:rsid w:val="2EB3170E"/>
    <w:rsid w:val="2ED533DD"/>
    <w:rsid w:val="2EFFD37E"/>
    <w:rsid w:val="2F8C2C23"/>
    <w:rsid w:val="2FB021B0"/>
    <w:rsid w:val="303A20E7"/>
    <w:rsid w:val="34AA5967"/>
    <w:rsid w:val="352670DE"/>
    <w:rsid w:val="35A16764"/>
    <w:rsid w:val="35F5085E"/>
    <w:rsid w:val="37F20500"/>
    <w:rsid w:val="39FC21BB"/>
    <w:rsid w:val="3C137C90"/>
    <w:rsid w:val="3C700C3E"/>
    <w:rsid w:val="3EE7611C"/>
    <w:rsid w:val="40B51316"/>
    <w:rsid w:val="40BC6B48"/>
    <w:rsid w:val="410D2F00"/>
    <w:rsid w:val="41A858AC"/>
    <w:rsid w:val="4588524B"/>
    <w:rsid w:val="46436156"/>
    <w:rsid w:val="46AA5C94"/>
    <w:rsid w:val="47C87B80"/>
    <w:rsid w:val="4B3C2D5F"/>
    <w:rsid w:val="4C6065D9"/>
    <w:rsid w:val="4CE30FB8"/>
    <w:rsid w:val="4EE80B08"/>
    <w:rsid w:val="4FA7106A"/>
    <w:rsid w:val="504A1A7A"/>
    <w:rsid w:val="50CD6207"/>
    <w:rsid w:val="51532BB1"/>
    <w:rsid w:val="51FB4D82"/>
    <w:rsid w:val="54F9581D"/>
    <w:rsid w:val="553E1482"/>
    <w:rsid w:val="55DF4038"/>
    <w:rsid w:val="575E22AF"/>
    <w:rsid w:val="57C87729"/>
    <w:rsid w:val="5AAE0E58"/>
    <w:rsid w:val="5DFF6072"/>
    <w:rsid w:val="5ED2780B"/>
    <w:rsid w:val="5F1C2834"/>
    <w:rsid w:val="60237BF2"/>
    <w:rsid w:val="632B023F"/>
    <w:rsid w:val="636447A9"/>
    <w:rsid w:val="63E853DA"/>
    <w:rsid w:val="647C1FC7"/>
    <w:rsid w:val="64FB2EEB"/>
    <w:rsid w:val="668A315F"/>
    <w:rsid w:val="66CFD20C"/>
    <w:rsid w:val="6805104B"/>
    <w:rsid w:val="6979403C"/>
    <w:rsid w:val="6A093829"/>
    <w:rsid w:val="6A5C18DD"/>
    <w:rsid w:val="6AF134FF"/>
    <w:rsid w:val="6AF74155"/>
    <w:rsid w:val="6BC4672D"/>
    <w:rsid w:val="6CAE6A95"/>
    <w:rsid w:val="6DCC18C9"/>
    <w:rsid w:val="713003C1"/>
    <w:rsid w:val="716F2C97"/>
    <w:rsid w:val="731F06ED"/>
    <w:rsid w:val="734B7734"/>
    <w:rsid w:val="74E92D60"/>
    <w:rsid w:val="78882890"/>
    <w:rsid w:val="7A396538"/>
    <w:rsid w:val="7B6475E5"/>
    <w:rsid w:val="7BE27B54"/>
    <w:rsid w:val="7BF285D7"/>
    <w:rsid w:val="7CEF5A0F"/>
    <w:rsid w:val="7D7A30EF"/>
    <w:rsid w:val="7DD5361A"/>
    <w:rsid w:val="7E0429B9"/>
    <w:rsid w:val="7EBE525E"/>
    <w:rsid w:val="7ED20D09"/>
    <w:rsid w:val="7ED71E7C"/>
    <w:rsid w:val="7F2E23E3"/>
    <w:rsid w:val="7F9FE89F"/>
    <w:rsid w:val="8E7E91B3"/>
    <w:rsid w:val="B3BF174C"/>
    <w:rsid w:val="DFBF9110"/>
    <w:rsid w:val="EBE90070"/>
    <w:rsid w:val="ED8FC4E2"/>
    <w:rsid w:val="EEF7250E"/>
    <w:rsid w:val="FDFB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2026-06-03T15:21:00Z</dcterms:created>
  <dc:creator>Dell</dc:creator>
  <cp:lastModifiedBy>潘笑天</cp:lastModifiedBy>
  <dcterms:modified xsi:type="dcterms:W3CDTF">2026-06-09T13:38:51Z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KSOTemplateDocerSaveRecord">
    <vt:lpwstr>eyJoZGlkIjoiODg2NWNkMDY0NWUzZTI0YjJmN2I5NTRkY2FjNmNmMzEiLCJ1c2VySWQiOiI0NjI4MjMxOTYifQ==</vt:lpwstr>
  </property>
  <property fmtid="{D5CDD505-2E9C-101B-9397-08002B2CF9AE}" pid="4" name="ICV">
    <vt:lpwstr>994A8D9FF3274360B0DD50EA90878EC5_12</vt:lpwstr>
  </property>
</Properties>
</file>