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F565F2E">
      <w:pPr>
        <w:pageBreakBefore w:val="0"/>
        <w:spacing w:after="80"/>
      </w:pPr>
      <w:r>
        <w:rPr>
          <w:rFonts w:ascii="Times New Roman" w:hAnsi="Times New Roman"/>
          <w:i w:val="0"/>
          <w:sz w:val="21"/>
        </w:rPr>
        <w:t>1、数据集信息不充分。文中仅报告EndoNPS包含5,382张图像，并称使用patient-disjoint划分，但没有报告患者总数、每个划分的患者数和图像数、五个等级的分布、中心/设备来源、纳排标准及重复图像处理方式。请补充完整队列流程和类别分布。</w:t>
      </w:r>
    </w:p>
    <w:p w14:paraId="1F0F2265">
      <w:pPr>
        <w:pageBreakBefore w:val="0"/>
        <w:spacing w:after="80"/>
      </w:pPr>
      <w:r>
        <w:rPr>
          <w:rFonts w:ascii="Times New Roman" w:hAnsi="Times New Roman"/>
          <w:sz w:val="21"/>
        </w:rPr>
        <w:t>2、整套方法依赖息肉、MT和IT掩膜，但论文没有充分说明独立分割网络的结构、训练集标注规模、标注协议和性能。应分别报告polyp/MT/IT的Dice、边界或表面指标，以及landmark可见性识别性能，并分析分割误差如何传播到最终分级。</w:t>
      </w:r>
    </w:p>
    <w:p w14:paraId="45CEA690">
      <w:pPr>
        <w:pageBreakBefore w:val="0"/>
        <w:spacing w:after="80"/>
      </w:pPr>
      <w:r>
        <w:rPr>
          <w:rFonts w:ascii="Times New Roman" w:hAnsi="Times New Roman"/>
          <w:sz w:val="21"/>
        </w:rPr>
        <w:t>3、相对深度分支的来源与训练策略不清楚。文中说明没有真实深度标注，却未明确深度模型采用何种预训练、是否在内镜数据上微调、冻结的具体模型及输入裁剪流程。Figure 5只有单个定性示例，不能证明裁剪对深度线索和最终NPS性能的稳定贡献。</w:t>
      </w:r>
    </w:p>
    <w:p w14:paraId="7195952B">
      <w:pPr>
        <w:pageBreakBefore w:val="0"/>
        <w:spacing w:after="80"/>
      </w:pPr>
      <w:r>
        <w:rPr>
          <w:rFonts w:ascii="Times New Roman" w:hAnsi="Times New Roman"/>
          <w:sz w:val="21"/>
        </w:rPr>
        <w:t>4、需要增加清晰的深度消融：使用完全相同的解剖边界特征，比较无深度、原始深度、裁剪后深度，并报告MAE/AUC及多次运行波动。否则AnatoDepth中“Depth”的独立贡献没有得到验证。</w:t>
      </w:r>
    </w:p>
    <w:p w14:paraId="7C8C53FD">
      <w:pPr>
        <w:pageBreakBefore w:val="0"/>
        <w:spacing w:after="80"/>
      </w:pPr>
      <w:r>
        <w:rPr>
          <w:rFonts w:ascii="Times New Roman" w:hAnsi="Times New Roman"/>
          <w:sz w:val="21"/>
        </w:rPr>
        <w:t>5、Table 3的模块组合和依赖关系需要澄清。AGDB依赖APDCE产生的解剖掩膜/深度/语义响应，EAGR又需要AGDB产生偏置；因此“AGDB单独启用”或“EAGR单独启用”的计算路径并不直观。此外正文交替使用RCOB和ROCB。请给出每个消融设置的精确定义并统一命名。</w:t>
      </w:r>
    </w:p>
    <w:p w14:paraId="4C064C86">
      <w:pPr>
        <w:pageBreakBefore w:val="0"/>
        <w:spacing w:after="80"/>
      </w:pPr>
      <w:r>
        <w:rPr>
          <w:rFonts w:ascii="Times New Roman" w:hAnsi="Times New Roman"/>
          <w:sz w:val="21"/>
        </w:rPr>
        <w:t>6、当前对比不足以证明提升来自临床解剖规则，而不是普通的post-hoc校准。建议增加温度缩放、向量/Dirichlet calibration、基于baseline confidence的MLP、仅使用面积与置信度的容量匹配校正头，以及不含MT/IT相对距离的控制实验。</w:t>
      </w:r>
    </w:p>
    <w:p w14:paraId="0141E59D">
      <w:pPr>
        <w:pageBreakBefore w:val="0"/>
        <w:spacing w:after="80"/>
      </w:pPr>
      <w:r>
        <w:rPr>
          <w:rFonts w:hint="eastAsia" w:ascii="Times New Roman" w:hAnsi="Times New Roman"/>
          <w:sz w:val="21"/>
          <w:lang w:val="en-US" w:eastAsia="zh-CN"/>
        </w:rPr>
        <w:t>7</w:t>
      </w:r>
      <w:r>
        <w:rPr>
          <w:rFonts w:ascii="Times New Roman" w:hAnsi="Times New Roman"/>
          <w:sz w:val="21"/>
        </w:rPr>
        <w:t>、统计证据不足。结果未给出多次运行的均值±标准差、患者级bootstrap置信区间或显著性检验。由于同一患者可能有多张图，统计重采样和数据划分必须以患者为单位，不能把图像视为相互独立样本。</w:t>
      </w:r>
    </w:p>
    <w:p w14:paraId="6CC3E6C6">
      <w:pPr>
        <w:pageBreakBefore w:val="0"/>
        <w:spacing w:after="80"/>
      </w:pPr>
      <w:r>
        <w:rPr>
          <w:rFonts w:hint="eastAsia" w:ascii="Times New Roman" w:hAnsi="Times New Roman"/>
          <w:sz w:val="21"/>
          <w:lang w:val="en-US" w:eastAsia="zh-CN"/>
        </w:rPr>
        <w:t>8</w:t>
      </w:r>
      <w:r>
        <w:rPr>
          <w:rFonts w:ascii="Times New Roman" w:hAnsi="Times New Roman"/>
          <w:sz w:val="21"/>
        </w:rPr>
        <w:t>、跨任务实验的可复现性不足。对于IDRiD和Digital Knee，作者只称重新定义了task-specific landmarks、rules和geometric descriptors，却没有说明具体landmark、规则公式、掩膜来源和标注成本。这两个数据集也不能替代EndoNPS的多中心外部验证，应收缩“泛化”表述。</w:t>
      </w:r>
    </w:p>
    <w:p w14:paraId="6C88C4C1">
      <w:pPr>
        <w:pageBreakBefore w:val="0"/>
        <w:spacing w:after="80"/>
      </w:pPr>
      <w:r>
        <w:rPr>
          <w:rFonts w:hint="eastAsia" w:ascii="Times New Roman" w:hAnsi="Times New Roman"/>
          <w:sz w:val="21"/>
          <w:lang w:val="en-US" w:eastAsia="zh-CN"/>
        </w:rPr>
        <w:t>9</w:t>
      </w:r>
      <w:r>
        <w:rPr>
          <w:rFonts w:ascii="Times New Roman" w:hAnsi="Times New Roman"/>
          <w:sz w:val="21"/>
        </w:rPr>
        <w:t>、临床标注信息不足。请报告NPS标签和结构掩膜由多少名ENT专家标注、是否盲法复核、分歧如何解决，以及评分一致性（如weighted kappa）。同时补充伦理审批/知情同意或豁免、去标识化和数据使用说明。</w:t>
      </w:r>
    </w:p>
    <w:p w14:paraId="716BF117">
      <w:pPr>
        <w:pageBreakBefore w:val="0"/>
        <w:spacing w:after="80"/>
      </w:pPr>
      <w:r>
        <w:rPr>
          <w:rFonts w:ascii="Times New Roman" w:hAnsi="Times New Roman"/>
          <w:sz w:val="21"/>
        </w:rPr>
        <w:t>1</w:t>
      </w:r>
      <w:r>
        <w:rPr>
          <w:rFonts w:hint="eastAsia" w:ascii="Times New Roman" w:hAnsi="Times New Roman"/>
          <w:sz w:val="21"/>
          <w:lang w:val="en-US" w:eastAsia="zh-CN"/>
        </w:rPr>
        <w:t>0</w:t>
      </w:r>
      <w:r>
        <w:rPr>
          <w:rFonts w:ascii="Times New Roman" w:hAnsi="Times New Roman"/>
          <w:sz w:val="21"/>
        </w:rPr>
        <w:t>、MAE适合有序误差，但ACC、macro-F1和one-vs-rest AUC不足以完整描述有序分类。建议补充weighted kappa、混淆矩阵、相邻/非相邻等级错误率及患者级95%置信区间，重点验证Mild–Moderate与Moderate–Severe边界。</w:t>
      </w:r>
    </w:p>
    <w:p w14:paraId="03D0963A">
      <w:pPr>
        <w:pageBreakBefore w:val="0"/>
        <w:spacing w:after="80"/>
      </w:pPr>
      <w:r>
        <w:rPr>
          <w:rFonts w:ascii="Times New Roman" w:hAnsi="Times New Roman"/>
          <w:sz w:val="21"/>
        </w:rPr>
        <w:t>1</w:t>
      </w:r>
      <w:r>
        <w:rPr>
          <w:rFonts w:hint="eastAsia" w:ascii="Times New Roman" w:hAnsi="Times New Roman"/>
          <w:sz w:val="21"/>
          <w:lang w:val="en-US" w:eastAsia="zh-CN"/>
        </w:rPr>
        <w:t>1</w:t>
      </w:r>
      <w:r>
        <w:rPr>
          <w:rFonts w:ascii="Times New Roman" w:hAnsi="Times New Roman"/>
          <w:sz w:val="21"/>
        </w:rPr>
        <w:t>、定性分析不足。Figure 3应明确每个病例的GT、baseline预测、修正预测、MT/IT/polyp掩膜轮廓、门控值和d_MT/d_IT，并增加成功、无效修正和有害修正病例，而不只展示代表性成功样例。</w:t>
      </w:r>
    </w:p>
    <w:p w14:paraId="0742A584">
      <w:pPr>
        <w:pageBreakBefore w:val="0"/>
        <w:spacing w:after="80"/>
      </w:pPr>
      <w:r>
        <w:rPr>
          <w:rFonts w:ascii="Times New Roman" w:hAnsi="Times New Roman"/>
          <w:sz w:val="21"/>
        </w:rPr>
        <w:t>1</w:t>
      </w:r>
      <w:r>
        <w:rPr>
          <w:rFonts w:hint="eastAsia" w:ascii="Times New Roman" w:hAnsi="Times New Roman"/>
          <w:sz w:val="21"/>
          <w:lang w:val="en-US" w:eastAsia="zh-CN"/>
        </w:rPr>
        <w:t>2</w:t>
      </w:r>
      <w:r>
        <w:rPr>
          <w:rFonts w:ascii="Times New Roman" w:hAnsi="Times New Roman"/>
          <w:sz w:val="21"/>
        </w:rPr>
        <w:t>、建议增加独立Discussion部分，系统讨论单中心偏倚、内镜设备/视角变化、landmark不可见、鼻腔</w:t>
      </w:r>
      <w:bookmarkStart w:id="0" w:name="_GoBack"/>
      <w:bookmarkEnd w:id="0"/>
      <w:r>
        <w:rPr>
          <w:rFonts w:ascii="Times New Roman" w:hAnsi="Times New Roman"/>
          <w:sz w:val="21"/>
        </w:rPr>
        <w:t>侧别、遮挡/反光/黏液、严重等级样本不平衡和自动分割失效等临床部署风险。</w:t>
      </w:r>
    </w:p>
    <w:p w14:paraId="0F6E4EA0">
      <w:pPr>
        <w:pageBreakBefore w:val="0"/>
        <w:spacing w:after="80"/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B22BA0"/>
    <w:rsid w:val="00D64AE1"/>
    <w:rsid w:val="00D75CA9"/>
    <w:rsid w:val="00ED1E2A"/>
    <w:rsid w:val="01EA0118"/>
    <w:rsid w:val="02104022"/>
    <w:rsid w:val="027C5214"/>
    <w:rsid w:val="02886B37"/>
    <w:rsid w:val="02963DFC"/>
    <w:rsid w:val="02EB4148"/>
    <w:rsid w:val="03CE7CF1"/>
    <w:rsid w:val="04684391"/>
    <w:rsid w:val="056401E1"/>
    <w:rsid w:val="072E0AA7"/>
    <w:rsid w:val="07DC193F"/>
    <w:rsid w:val="08033BFA"/>
    <w:rsid w:val="0B7003AA"/>
    <w:rsid w:val="0CFA1B57"/>
    <w:rsid w:val="0D186481"/>
    <w:rsid w:val="0EBE2240"/>
    <w:rsid w:val="134373CC"/>
    <w:rsid w:val="13E65DFE"/>
    <w:rsid w:val="17650515"/>
    <w:rsid w:val="17742506"/>
    <w:rsid w:val="17884E38"/>
    <w:rsid w:val="183B1275"/>
    <w:rsid w:val="1A6507EC"/>
    <w:rsid w:val="1B8B42C2"/>
    <w:rsid w:val="1BA3139C"/>
    <w:rsid w:val="1BEC449D"/>
    <w:rsid w:val="1CB14393"/>
    <w:rsid w:val="1E025946"/>
    <w:rsid w:val="1E562965"/>
    <w:rsid w:val="20FD74DF"/>
    <w:rsid w:val="21E550D0"/>
    <w:rsid w:val="221B56B0"/>
    <w:rsid w:val="23EA427B"/>
    <w:rsid w:val="24B4658A"/>
    <w:rsid w:val="256C0CC0"/>
    <w:rsid w:val="28D728F5"/>
    <w:rsid w:val="298962E5"/>
    <w:rsid w:val="29C410CB"/>
    <w:rsid w:val="2A3F0751"/>
    <w:rsid w:val="2B597F39"/>
    <w:rsid w:val="2CAD5E46"/>
    <w:rsid w:val="2EB3170E"/>
    <w:rsid w:val="2ED533DD"/>
    <w:rsid w:val="2EFFD37E"/>
    <w:rsid w:val="2F8C2C23"/>
    <w:rsid w:val="2FB021B0"/>
    <w:rsid w:val="303A20E7"/>
    <w:rsid w:val="34AA5967"/>
    <w:rsid w:val="352670DE"/>
    <w:rsid w:val="35A16764"/>
    <w:rsid w:val="35F5085E"/>
    <w:rsid w:val="37F20500"/>
    <w:rsid w:val="39FC21BB"/>
    <w:rsid w:val="3C137C90"/>
    <w:rsid w:val="3C700C3E"/>
    <w:rsid w:val="3EE7611C"/>
    <w:rsid w:val="40B51316"/>
    <w:rsid w:val="40BC6B48"/>
    <w:rsid w:val="410D2F00"/>
    <w:rsid w:val="41A858AC"/>
    <w:rsid w:val="4588524B"/>
    <w:rsid w:val="46436156"/>
    <w:rsid w:val="46AA5C94"/>
    <w:rsid w:val="47C87B80"/>
    <w:rsid w:val="4B3C2D5F"/>
    <w:rsid w:val="4C6065D9"/>
    <w:rsid w:val="4CE30FB8"/>
    <w:rsid w:val="4EE80B08"/>
    <w:rsid w:val="4FA7106A"/>
    <w:rsid w:val="504A1A7A"/>
    <w:rsid w:val="50CD6207"/>
    <w:rsid w:val="51532BB1"/>
    <w:rsid w:val="51FB4D82"/>
    <w:rsid w:val="54F9581D"/>
    <w:rsid w:val="553E1482"/>
    <w:rsid w:val="55DF4038"/>
    <w:rsid w:val="575E22AF"/>
    <w:rsid w:val="57C87729"/>
    <w:rsid w:val="5AAE0E58"/>
    <w:rsid w:val="5DFF6072"/>
    <w:rsid w:val="5ED2780B"/>
    <w:rsid w:val="5EE96101"/>
    <w:rsid w:val="5F1C2834"/>
    <w:rsid w:val="60237BF2"/>
    <w:rsid w:val="632B023F"/>
    <w:rsid w:val="636447A9"/>
    <w:rsid w:val="63E853DA"/>
    <w:rsid w:val="647C1FC7"/>
    <w:rsid w:val="64FB2EEB"/>
    <w:rsid w:val="668A315F"/>
    <w:rsid w:val="66CFD20C"/>
    <w:rsid w:val="6805104B"/>
    <w:rsid w:val="6979403C"/>
    <w:rsid w:val="6A093829"/>
    <w:rsid w:val="6A5C18DD"/>
    <w:rsid w:val="6AF134FF"/>
    <w:rsid w:val="6AF74155"/>
    <w:rsid w:val="6BC4672D"/>
    <w:rsid w:val="6CAE6A95"/>
    <w:rsid w:val="6DCC18C9"/>
    <w:rsid w:val="713003C1"/>
    <w:rsid w:val="716F2C97"/>
    <w:rsid w:val="731F06ED"/>
    <w:rsid w:val="734B7734"/>
    <w:rsid w:val="74E92D60"/>
    <w:rsid w:val="78882890"/>
    <w:rsid w:val="7A396538"/>
    <w:rsid w:val="7B6475E5"/>
    <w:rsid w:val="7BE27B54"/>
    <w:rsid w:val="7BF285D7"/>
    <w:rsid w:val="7CEF5A0F"/>
    <w:rsid w:val="7D7A30EF"/>
    <w:rsid w:val="7DD5361A"/>
    <w:rsid w:val="7E0429B9"/>
    <w:rsid w:val="7EBE525E"/>
    <w:rsid w:val="7ED20D09"/>
    <w:rsid w:val="7ED71E7C"/>
    <w:rsid w:val="7F2E23E3"/>
    <w:rsid w:val="7F9FE89F"/>
    <w:rsid w:val="8E7E91B3"/>
    <w:rsid w:val="B3BF174C"/>
    <w:rsid w:val="DFBF9110"/>
    <w:rsid w:val="EBE90070"/>
    <w:rsid w:val="ED8FC4E2"/>
    <w:rsid w:val="EEF7250E"/>
    <w:rsid w:val="FDFB64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rPr>
      <w:sz w:val="24"/>
    </w:rPr>
  </w:style>
  <w:style w:type="character" w:styleId="5">
    <w:name w:val="HTML Code"/>
    <w:basedOn w:val="4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1999</Words>
  <Characters>5347</Characters>
  <Lines>0</Lines>
  <Paragraphs>0</Paragraphs>
  <TotalTime>308</TotalTime>
  <ScaleCrop>false</ScaleCrop>
  <LinksUpToDate>false</LinksUpToDate>
  <CharactersWithSpaces>5812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2026-06-03T15:21:00Z</dcterms:created>
  <dc:creator>Dell</dc:creator>
  <cp:lastModifiedBy>沈泽宇</cp:lastModifiedBy>
  <dcterms:modified xsi:type="dcterms:W3CDTF">2026-08-13T12:20:38Z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eyJoZGlkIjoiY2I0YjIzMTdjZTU0ZWQ0ZDk2OGJhMzAzMTM1Y2YxOGIiLCJ1c2VySWQiOiIxMjc0NjgwNDU3In0=</vt:lpwstr>
  </property>
  <property fmtid="{D5CDD505-2E9C-101B-9397-08002B2CF9AE}" pid="4" name="ICV">
    <vt:lpwstr>994A8D9FF3274360B0DD50EA90878EC5_12</vt:lpwstr>
  </property>
</Properties>
</file>