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bCs w:val="1"/>
          <w:rtl w:val="0"/>
        </w:rPr>
        <w:t xml:space="preserve">1. Identificación de Pares: Enumera tres claves (keys) presentes en el nivel superior del objeto JSON. </w:t>
      </w:r>
      <w:r w:rsidDel="00000000" w:rsidR="00000000" w:rsidRPr="00000000">
        <w:rPr>
          <w:rtl w:val="0"/>
        </w:rPr>
        <w:t xml:space="preserve">Hostname, uptime_days, managed_by_apic, interfaces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Tipos de Datos: Identifica un ejemplo de cada uno de los siguientes tipos en el código: String, Number, Boolean y Null. 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"hostname": "R1-Core" es String-Cadena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"uptime_days": 45   es int-numerico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"managed_by_apic": true  es booleano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interfaces es una lista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