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Times New Roman" w:hAnsi="Times New Roman" w:eastAsia="Times New Roman"/>
          <w:b/>
          <w:color w:val="000000"/>
          <w:sz w:val="36"/>
        </w:rPr>
        <w:t>A donor resolved hierarchical atlas of human thymic aging with an interactive biological resource</w:t>
      </w:r>
    </w:p>
    <w:p>
      <w:pPr>
        <w:keepNext w:val="0"/>
        <w:spacing w:after="60" w:line="269" w:lineRule="auto"/>
        <w:ind w:firstLine="0"/>
        <w:jc w:val="center"/>
      </w:pPr>
      <w:r>
        <w:rPr>
          <w:rFonts w:ascii="Times New Roman" w:hAnsi="Times New Roman" w:eastAsia="Times New Roman"/>
          <w:b w:val="0"/>
          <w:i w:val="0"/>
          <w:color w:val="000000"/>
          <w:sz w:val="22"/>
        </w:rPr>
        <w:t>Jia Zhang1†, Yibol1, Changshan Wang1*</w:t>
      </w:r>
    </w:p>
    <w:p>
      <w:pPr>
        <w:keepNext w:val="0"/>
        <w:spacing w:after="280" w:line="269" w:lineRule="auto"/>
        <w:ind w:firstLine="0"/>
        <w:jc w:val="center"/>
      </w:pPr>
      <w:r>
        <w:rPr>
          <w:rFonts w:ascii="Times New Roman" w:hAnsi="Times New Roman" w:eastAsia="Times New Roman"/>
          <w:b w:val="0"/>
          <w:i w:val="0"/>
          <w:color w:val="000000"/>
          <w:sz w:val="20"/>
        </w:rPr>
        <w:t>1 School of Life Science, Inner Mongolia University, Hohhot 010070, China</w:t>
      </w:r>
    </w:p>
    <w:p>
      <w:pPr>
        <w:pStyle w:val="Heading1"/>
        <w:keepNext/>
        <w:spacing w:before="240" w:after="100"/>
        <w:ind w:firstLine="0"/>
      </w:pPr>
      <w:r>
        <w:rPr>
          <w:rFonts w:ascii="Times New Roman" w:hAnsi="Times New Roman" w:eastAsia="Times New Roman"/>
          <w:b/>
          <w:color w:val="000000"/>
          <w:sz w:val="26"/>
        </w:rPr>
        <w:t>Abstract</w:t>
      </w:r>
    </w:p>
    <w:p>
      <w:pPr>
        <w:keepNext w:val="0"/>
        <w:spacing w:after="120" w:line="269" w:lineRule="auto"/>
        <w:ind w:firstLine="317"/>
      </w:pPr>
      <w:r>
        <w:rPr>
          <w:rFonts w:ascii="Times New Roman" w:hAnsi="Times New Roman" w:eastAsia="Times New Roman"/>
          <w:b w:val="0"/>
          <w:i w:val="0"/>
          <w:color w:val="000000"/>
          <w:sz w:val="21"/>
        </w:rPr>
        <w:t>Human thymic aging involves coordinated changes in developing T cells and the epithelial and stromal niches that sustain thymopoiesis, but single-cell studies can obscure the distinction between cell-level resolution and donor-level replication. We reorganized a published single-cell RNA-sequencing cohort of 18 human thymic donors aged 4 to 69 years into a three-level atlas. Level 1 retains broad compartments for the primary donor-level analyses. Level 2 consolidates lineage-resolved states for biological interpretation, and Level 3 preserves source fine labels while applying explicit cell and donor coverage gates. The atlas contains 114,957 quality-controlled cells, 19 Level 2 classes and 71 source Level 3 labels. Fifty Level 3 labels met a prespecified coverage rule of at least 100 cells across at least 12 donors; 15 were restricted to exploratory use and 6 to descriptive display. Donor-level analyses connected thymocyte developmental compartments, thymic epithelial states and stromal populations to continuous age. Within the recovered TEC compartment, cTEC fractions decreased and specialized TEC fractions increased with age in exploratory sex-adjusted models, whereas fine thymocyte trends were directionally informative but did not meet family-wise false-discovery control. Mixed-library pseudobulk analysis identified 2,851 age-up and 1,639 age-down genes and revealed shared and context-restricted transcriptional programs. We integrated these results into an interactive resource linking cells, donors, genes, pathways and downloadable provenance. A fully nested internal age-prediction model and a four-donor frozen external transfer are retained only as secondary diagnostics: they support technical execution across cohorts but do not establish a reliable clinical age clock. This resource provides a donor-aware framework for studying thymic aging while keeping biological resolution, statistical independence and evidential scope explicit.</w:t>
      </w:r>
    </w:p>
    <w:p>
      <w:pPr>
        <w:spacing w:after="160"/>
        <w:ind w:firstLine="0"/>
      </w:pPr>
      <w:r>
        <w:rPr>
          <w:rFonts w:ascii="Times New Roman" w:hAnsi="Times New Roman" w:eastAsia="Times New Roman"/>
          <w:b/>
          <w:color w:val="000000"/>
          <w:sz w:val="20"/>
        </w:rPr>
        <w:t xml:space="preserve">Keywords: </w:t>
      </w:r>
      <w:r>
        <w:rPr>
          <w:rFonts w:ascii="Times New Roman" w:hAnsi="Times New Roman" w:eastAsia="Times New Roman"/>
          <w:color w:val="000000"/>
          <w:sz w:val="20"/>
        </w:rPr>
        <w:t>human thymus; aging; single-cell RNA sequencing; thymocyte development; thymic epithelial cells; stromal niche; interactive atlas</w:t>
      </w:r>
    </w:p>
    <w:p>
      <w:pPr>
        <w:pStyle w:val="Heading1"/>
        <w:keepNext/>
        <w:spacing w:before="240" w:after="100"/>
        <w:ind w:firstLine="0"/>
      </w:pPr>
      <w:r>
        <w:rPr>
          <w:rFonts w:ascii="Times New Roman" w:hAnsi="Times New Roman" w:eastAsia="Times New Roman"/>
          <w:b/>
          <w:color w:val="000000"/>
          <w:sz w:val="26"/>
        </w:rPr>
        <w:t>Introduction</w:t>
      </w:r>
    </w:p>
    <w:p>
      <w:pPr>
        <w:keepNext w:val="0"/>
        <w:spacing w:after="120" w:line="269" w:lineRule="auto"/>
        <w:ind w:firstLine="317"/>
      </w:pPr>
      <w:r>
        <w:rPr>
          <w:rFonts w:ascii="Times New Roman" w:hAnsi="Times New Roman" w:eastAsia="Times New Roman"/>
          <w:b w:val="0"/>
          <w:i w:val="0"/>
          <w:color w:val="000000"/>
          <w:sz w:val="21"/>
        </w:rPr>
        <w:t>The thymus provides the specialized microenvironment in which hematopoietic progenitors enter the T-cell lineage, proliferate, undergo positive and negative selection and emerge as mature T cells [1-6]. Its architecture depends on reciprocal interactions among developing thymocytes, thymic epithelial cells, fibroblasts, endothelial cells and myeloid populations. With age, this cellular ecosystem becomes smaller and less efficient, but the biological process is not adequately summarized by a single molecular clock value. A useful atlas must instead show where in the developmental and stromal system age-associated changes occur, how consistently they are detected across individuals and which conclusions are supported by independent donor replication.</w:t>
      </w:r>
    </w:p>
    <w:p>
      <w:pPr>
        <w:keepNext w:val="0"/>
        <w:spacing w:after="120" w:line="269" w:lineRule="auto"/>
        <w:ind w:firstLine="317"/>
      </w:pPr>
      <w:r>
        <w:rPr>
          <w:rFonts w:ascii="Times New Roman" w:hAnsi="Times New Roman" w:eastAsia="Times New Roman"/>
          <w:b w:val="0"/>
          <w:i w:val="0"/>
          <w:color w:val="000000"/>
          <w:sz w:val="21"/>
        </w:rPr>
        <w:t>Single-cell RNA sequencing offers the necessary cellular resolution but also creates a recurrent inferential problem. Thousands of cells from one donor do not represent thousands of independent biological replicates, and cell-level tests can therefore exaggerate evidence when the donor hierarchy is ignored [18-20]. Fine annotation creates a second tension: increasingly specific labels improve biological description, yet many rare states become too sparsely distributed across donors for stable age association. We address these problems by separating the annotation hierarchy from the analysis hierarchy. Broad Level 1 compartments remain the basis of the primary donor-level models, while Level 2 and Level 3 states are treated as an audited atlas layer whose inferential status depends on donor and cell coverage.</w:t>
      </w:r>
    </w:p>
    <w:p>
      <w:pPr>
        <w:keepNext w:val="0"/>
        <w:spacing w:after="120" w:line="269" w:lineRule="auto"/>
        <w:ind w:firstLine="317"/>
      </w:pPr>
      <w:r>
        <w:rPr>
          <w:rFonts w:ascii="Times New Roman" w:hAnsi="Times New Roman" w:eastAsia="Times New Roman"/>
          <w:b w:val="0"/>
          <w:i w:val="0"/>
          <w:color w:val="000000"/>
          <w:sz w:val="21"/>
        </w:rPr>
        <w:t>The source GSE231906 study established a rich human thymus aging atlas [26]. Our contribution is not to claim a first human thymus atlas or to replace the source annotation. Instead, we restructure the published cells into a conservative three-level hierarchy, connect developmental thymocyte states to the epithelial and stromal niche, retain the donor as the independent unit and expose the resulting evidence through a reproducible website. The primary scientific objective is to describe donor-resolved cellular and molecular remodeling with age. Machine learning and HumanThymusFormer are retained as secondary tools for summarizing multivariate age information and prioritizing hypotheses, not as evidence for a clinical or biological-age clock.</w:t>
      </w:r>
    </w:p>
    <w:p>
      <w:pPr>
        <w:pStyle w:val="Heading1"/>
        <w:keepNext/>
        <w:spacing w:before="240" w:after="100"/>
        <w:ind w:firstLine="0"/>
      </w:pPr>
      <w:r>
        <w:rPr>
          <w:rFonts w:ascii="Times New Roman" w:hAnsi="Times New Roman" w:eastAsia="Times New Roman"/>
          <w:b/>
          <w:color w:val="000000"/>
          <w:sz w:val="26"/>
        </w:rPr>
        <w:t>Results</w:t>
      </w:r>
    </w:p>
    <w:p>
      <w:pPr>
        <w:pStyle w:val="Heading2"/>
        <w:keepNext/>
        <w:spacing w:before="160" w:after="100"/>
        <w:ind w:firstLine="0"/>
      </w:pPr>
      <w:r>
        <w:rPr>
          <w:rFonts w:ascii="Times New Roman" w:hAnsi="Times New Roman" w:eastAsia="Times New Roman"/>
          <w:b/>
          <w:color w:val="000000"/>
          <w:sz w:val="23"/>
        </w:rPr>
        <w:t>A hierarchical atlas separates robust donor inference from fine biological description</w:t>
      </w:r>
    </w:p>
    <w:p>
      <w:pPr>
        <w:keepNext w:val="0"/>
        <w:spacing w:after="120" w:line="269" w:lineRule="auto"/>
        <w:ind w:firstLine="317"/>
      </w:pPr>
      <w:r>
        <w:rPr>
          <w:rFonts w:ascii="Times New Roman" w:hAnsi="Times New Roman" w:eastAsia="Times New Roman"/>
          <w:b w:val="0"/>
          <w:i w:val="0"/>
          <w:color w:val="000000"/>
          <w:sz w:val="21"/>
        </w:rPr>
        <w:t>The primary cohort included 18 independent donors aged 4 to 69 years and 114,957 quality-controlled cells. Fourteen donors were female and four were male. The published experiment sorted CD45-positive and CD45-negative cells and recombined them at a nominal 6:4 ratio; consequently, every composition result in this manuscript describes the recovered sequencing library rather than the intact organ. We retained this boundary in the atlas, in the figures and in the interactive resource.</w:t>
      </w:r>
    </w:p>
    <w:p>
      <w:pPr>
        <w:keepNext w:val="0"/>
        <w:spacing w:after="120" w:line="269" w:lineRule="auto"/>
        <w:ind w:firstLine="317"/>
      </w:pPr>
      <w:r>
        <w:rPr>
          <w:rFonts w:ascii="Times New Roman" w:hAnsi="Times New Roman" w:eastAsia="Times New Roman"/>
          <w:b w:val="0"/>
          <w:i w:val="0"/>
          <w:color w:val="000000"/>
          <w:sz w:val="21"/>
        </w:rPr>
        <w:t>The annotation system has three purposes. Level 1 preserves broad thymocyte, immune, epithelial and stromal labels for the formal donor-level analyses. Level 2 consolidates the source hierarchy into 19 interpretable classes, including early and cycling DN-like cells, ISP-like cells, alpha-beta entry, cycling and quiescent DP cells, CD4 and CD8 single-positive cells, regulatory and agonist states, cTEC, mTEC, specialized TEC, fibroblast and vascular compartments. Level 3 retains 71 source fine labels. A predeclared audit classified 50 Level 3 labels as coverage-eligible for donor modeling, 15 as exploratory only and 6 as descriptive only. Coverage eligibility is a statistical gate, not independent proof that a biological label is correct.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440"/>
            <w:shd w:fill="173E43"/>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6"/>
              </w:rPr>
              <w:t>Annotation level</w:t>
            </w:r>
          </w:p>
        </w:tc>
        <w:tc>
          <w:tcPr>
            <w:tcW w:type="dxa" w:w="2448"/>
            <w:shd w:fill="173E43"/>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6"/>
              </w:rPr>
              <w:t>Role</w:t>
            </w:r>
          </w:p>
        </w:tc>
        <w:tc>
          <w:tcPr>
            <w:tcW w:type="dxa" w:w="2376"/>
            <w:shd w:fill="173E43"/>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6"/>
              </w:rPr>
              <w:t>Statistical use</w:t>
            </w:r>
          </w:p>
        </w:tc>
        <w:tc>
          <w:tcPr>
            <w:tcW w:type="dxa" w:w="3456"/>
            <w:shd w:fill="173E43"/>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6"/>
              </w:rPr>
              <w:t>Interpretation boundary</w:t>
            </w:r>
          </w:p>
        </w:tc>
      </w:tr>
      <w:tr>
        <w:tc>
          <w:tcPr>
            <w:tcW w:type="dxa" w:w="1440"/>
            <w:tcMar>
              <w:top w:w="90" w:type="dxa"/>
              <w:start w:w="100" w:type="dxa"/>
              <w:bottom w:w="90" w:type="dxa"/>
              <w:end w:w="100" w:type="dxa"/>
            </w:tcMar>
            <w:vAlign w:val="center"/>
          </w:tcPr>
          <w:p>
            <w:pPr>
              <w:spacing w:after="0" w:line="240" w:lineRule="auto"/>
              <w:jc w:val="left"/>
            </w:pPr>
            <w:r>
              <w:rPr>
                <w:rFonts w:ascii="Times New Roman" w:hAnsi="Times New Roman" w:eastAsia="Times New Roman"/>
                <w:color w:val="000000"/>
                <w:sz w:val="16"/>
              </w:rPr>
              <w:t>Level 1</w:t>
            </w:r>
          </w:p>
        </w:tc>
        <w:tc>
          <w:tcPr>
            <w:tcW w:type="dxa" w:w="2448"/>
            <w:tcMar>
              <w:top w:w="90" w:type="dxa"/>
              <w:start w:w="100" w:type="dxa"/>
              <w:bottom w:w="90" w:type="dxa"/>
              <w:end w:w="100" w:type="dxa"/>
            </w:tcMar>
            <w:vAlign w:val="center"/>
          </w:tcPr>
          <w:p>
            <w:pPr>
              <w:spacing w:after="0" w:line="240" w:lineRule="auto"/>
              <w:jc w:val="center"/>
            </w:pPr>
            <w:r>
              <w:rPr>
                <w:rFonts w:ascii="Times New Roman" w:hAnsi="Times New Roman" w:eastAsia="Times New Roman"/>
                <w:color w:val="000000"/>
                <w:sz w:val="16"/>
              </w:rPr>
              <w:t>Broad atlas compartments</w:t>
            </w:r>
          </w:p>
        </w:tc>
        <w:tc>
          <w:tcPr>
            <w:tcW w:type="dxa" w:w="2376"/>
            <w:tcMar>
              <w:top w:w="90" w:type="dxa"/>
              <w:start w:w="100" w:type="dxa"/>
              <w:bottom w:w="90" w:type="dxa"/>
              <w:end w:w="100" w:type="dxa"/>
            </w:tcMar>
            <w:vAlign w:val="center"/>
          </w:tcPr>
          <w:p>
            <w:pPr>
              <w:spacing w:after="0" w:line="240" w:lineRule="auto"/>
              <w:jc w:val="center"/>
            </w:pPr>
            <w:r>
              <w:rPr>
                <w:rFonts w:ascii="Times New Roman" w:hAnsi="Times New Roman" w:eastAsia="Times New Roman"/>
                <w:color w:val="000000"/>
                <w:sz w:val="16"/>
              </w:rPr>
              <w:t>Primary donor-level inference</w:t>
            </w:r>
          </w:p>
        </w:tc>
        <w:tc>
          <w:tcPr>
            <w:tcW w:type="dxa" w:w="3456"/>
            <w:tcMar>
              <w:top w:w="90" w:type="dxa"/>
              <w:start w:w="100" w:type="dxa"/>
              <w:bottom w:w="90" w:type="dxa"/>
              <w:end w:w="100" w:type="dxa"/>
            </w:tcMar>
            <w:vAlign w:val="center"/>
          </w:tcPr>
          <w:p>
            <w:pPr>
              <w:spacing w:after="0" w:line="240" w:lineRule="auto"/>
              <w:jc w:val="center"/>
            </w:pPr>
            <w:r>
              <w:rPr>
                <w:rFonts w:ascii="Times New Roman" w:hAnsi="Times New Roman" w:eastAsia="Times New Roman"/>
                <w:color w:val="000000"/>
                <w:sz w:val="16"/>
              </w:rPr>
              <w:t>Stable labels retained from the main analysis</w:t>
            </w:r>
          </w:p>
        </w:tc>
      </w:tr>
      <w:tr>
        <w:tc>
          <w:tcPr>
            <w:tcW w:type="dxa" w:w="1440"/>
            <w:tcMar>
              <w:top w:w="90" w:type="dxa"/>
              <w:start w:w="100" w:type="dxa"/>
              <w:bottom w:w="90" w:type="dxa"/>
              <w:end w:w="100" w:type="dxa"/>
            </w:tcMar>
            <w:vAlign w:val="center"/>
            <w:shd w:fill="EEF5F4"/>
          </w:tcPr>
          <w:p>
            <w:pPr>
              <w:spacing w:after="0" w:line="240" w:lineRule="auto"/>
              <w:jc w:val="left"/>
            </w:pPr>
            <w:r>
              <w:rPr>
                <w:rFonts w:ascii="Times New Roman" w:hAnsi="Times New Roman" w:eastAsia="Times New Roman"/>
                <w:color w:val="000000"/>
                <w:sz w:val="16"/>
              </w:rPr>
              <w:t>Level 2</w:t>
            </w:r>
          </w:p>
        </w:tc>
        <w:tc>
          <w:tcPr>
            <w:tcW w:type="dxa" w:w="2448"/>
            <w:tcMar>
              <w:top w:w="90" w:type="dxa"/>
              <w:start w:w="100" w:type="dxa"/>
              <w:bottom w:w="90" w:type="dxa"/>
              <w:end w:w="100" w:type="dxa"/>
            </w:tcMar>
            <w:vAlign w:val="center"/>
            <w:shd w:fill="EEF5F4"/>
          </w:tcPr>
          <w:p>
            <w:pPr>
              <w:spacing w:after="0" w:line="240" w:lineRule="auto"/>
              <w:jc w:val="center"/>
            </w:pPr>
            <w:r>
              <w:rPr>
                <w:rFonts w:ascii="Times New Roman" w:hAnsi="Times New Roman" w:eastAsia="Times New Roman"/>
                <w:color w:val="000000"/>
                <w:sz w:val="16"/>
              </w:rPr>
              <w:t>Conservative lineage consolidation</w:t>
            </w:r>
          </w:p>
        </w:tc>
        <w:tc>
          <w:tcPr>
            <w:tcW w:type="dxa" w:w="2376"/>
            <w:tcMar>
              <w:top w:w="90" w:type="dxa"/>
              <w:start w:w="100" w:type="dxa"/>
              <w:bottom w:w="90" w:type="dxa"/>
              <w:end w:w="100" w:type="dxa"/>
            </w:tcMar>
            <w:vAlign w:val="center"/>
            <w:shd w:fill="EEF5F4"/>
          </w:tcPr>
          <w:p>
            <w:pPr>
              <w:spacing w:after="0" w:line="240" w:lineRule="auto"/>
              <w:jc w:val="center"/>
            </w:pPr>
            <w:r>
              <w:rPr>
                <w:rFonts w:ascii="Times New Roman" w:hAnsi="Times New Roman" w:eastAsia="Times New Roman"/>
                <w:color w:val="000000"/>
                <w:sz w:val="16"/>
              </w:rPr>
              <w:t>Exploratory donor trajectories</w:t>
            </w:r>
          </w:p>
        </w:tc>
        <w:tc>
          <w:tcPr>
            <w:tcW w:type="dxa" w:w="3456"/>
            <w:tcMar>
              <w:top w:w="90" w:type="dxa"/>
              <w:start w:w="100" w:type="dxa"/>
              <w:bottom w:w="90" w:type="dxa"/>
              <w:end w:w="100" w:type="dxa"/>
            </w:tcMar>
            <w:vAlign w:val="center"/>
            <w:shd w:fill="EEF5F4"/>
          </w:tcPr>
          <w:p>
            <w:pPr>
              <w:spacing w:after="0" w:line="240" w:lineRule="auto"/>
              <w:jc w:val="center"/>
            </w:pPr>
            <w:r>
              <w:rPr>
                <w:rFonts w:ascii="Times New Roman" w:hAnsi="Times New Roman" w:eastAsia="Times New Roman"/>
                <w:color w:val="000000"/>
                <w:sz w:val="16"/>
              </w:rPr>
              <w:t>Within-lineage denominators; not intact-thymus abundance</w:t>
            </w:r>
          </w:p>
        </w:tc>
      </w:tr>
      <w:tr>
        <w:tc>
          <w:tcPr>
            <w:tcW w:type="dxa" w:w="1440"/>
            <w:tcMar>
              <w:top w:w="90" w:type="dxa"/>
              <w:start w:w="100" w:type="dxa"/>
              <w:bottom w:w="90" w:type="dxa"/>
              <w:end w:w="100" w:type="dxa"/>
            </w:tcMar>
            <w:vAlign w:val="center"/>
          </w:tcPr>
          <w:p>
            <w:pPr>
              <w:spacing w:after="0" w:line="240" w:lineRule="auto"/>
              <w:jc w:val="left"/>
            </w:pPr>
            <w:r>
              <w:rPr>
                <w:rFonts w:ascii="Times New Roman" w:hAnsi="Times New Roman" w:eastAsia="Times New Roman"/>
                <w:color w:val="000000"/>
                <w:sz w:val="16"/>
              </w:rPr>
              <w:t>Level 3</w:t>
            </w:r>
          </w:p>
        </w:tc>
        <w:tc>
          <w:tcPr>
            <w:tcW w:type="dxa" w:w="2448"/>
            <w:tcMar>
              <w:top w:w="90" w:type="dxa"/>
              <w:start w:w="100" w:type="dxa"/>
              <w:bottom w:w="90" w:type="dxa"/>
              <w:end w:w="100" w:type="dxa"/>
            </w:tcMar>
            <w:vAlign w:val="center"/>
          </w:tcPr>
          <w:p>
            <w:pPr>
              <w:spacing w:after="0" w:line="240" w:lineRule="auto"/>
              <w:jc w:val="center"/>
            </w:pPr>
            <w:r>
              <w:rPr>
                <w:rFonts w:ascii="Times New Roman" w:hAnsi="Times New Roman" w:eastAsia="Times New Roman"/>
                <w:color w:val="000000"/>
                <w:sz w:val="16"/>
              </w:rPr>
              <w:t>Source fine labels</w:t>
            </w:r>
          </w:p>
        </w:tc>
        <w:tc>
          <w:tcPr>
            <w:tcW w:type="dxa" w:w="2376"/>
            <w:tcMar>
              <w:top w:w="90" w:type="dxa"/>
              <w:start w:w="100" w:type="dxa"/>
              <w:bottom w:w="90" w:type="dxa"/>
              <w:end w:w="100" w:type="dxa"/>
            </w:tcMar>
            <w:vAlign w:val="center"/>
          </w:tcPr>
          <w:p>
            <w:pPr>
              <w:spacing w:after="0" w:line="240" w:lineRule="auto"/>
              <w:jc w:val="center"/>
            </w:pPr>
            <w:r>
              <w:rPr>
                <w:rFonts w:ascii="Times New Roman" w:hAnsi="Times New Roman" w:eastAsia="Times New Roman"/>
                <w:color w:val="000000"/>
                <w:sz w:val="16"/>
              </w:rPr>
              <w:t>Coverage-gated exploratory or descriptive analyses</w:t>
            </w:r>
          </w:p>
        </w:tc>
        <w:tc>
          <w:tcPr>
            <w:tcW w:type="dxa" w:w="3456"/>
            <w:tcMar>
              <w:top w:w="90" w:type="dxa"/>
              <w:start w:w="100" w:type="dxa"/>
              <w:bottom w:w="90" w:type="dxa"/>
              <w:end w:w="100" w:type="dxa"/>
            </w:tcMar>
            <w:vAlign w:val="center"/>
          </w:tcPr>
          <w:p>
            <w:pPr>
              <w:spacing w:after="0" w:line="240" w:lineRule="auto"/>
              <w:jc w:val="center"/>
            </w:pPr>
            <w:r>
              <w:rPr>
                <w:rFonts w:ascii="Times New Roman" w:hAnsi="Times New Roman" w:eastAsia="Times New Roman"/>
                <w:color w:val="000000"/>
                <w:sz w:val="16"/>
              </w:rPr>
              <w:t>Inherited from source hierarchy; not new de novo reference mapping</w:t>
            </w:r>
          </w:p>
        </w:tc>
      </w:tr>
    </w:tbl>
    <w:p>
      <w:pPr>
        <w:spacing w:after="20"/>
      </w:pPr>
    </w:p>
    <w:p>
      <w:pPr>
        <w:pStyle w:val="Heading2"/>
        <w:keepNext/>
        <w:spacing w:before="160" w:after="100"/>
        <w:ind w:firstLine="0"/>
      </w:pPr>
      <w:r>
        <w:rPr>
          <w:rFonts w:ascii="Times New Roman" w:hAnsi="Times New Roman" w:eastAsia="Times New Roman"/>
          <w:b/>
          <w:color w:val="000000"/>
          <w:sz w:val="23"/>
        </w:rPr>
        <w:t>Age stratifies thymocyte developmental compartments</w:t>
      </w:r>
    </w:p>
    <w:p>
      <w:pPr>
        <w:keepNext w:val="0"/>
        <w:spacing w:after="120" w:line="269" w:lineRule="auto"/>
        <w:ind w:firstLine="317"/>
      </w:pPr>
      <w:r>
        <w:rPr>
          <w:rFonts w:ascii="Times New Roman" w:hAnsi="Times New Roman" w:eastAsia="Times New Roman"/>
          <w:b w:val="0"/>
          <w:i w:val="0"/>
          <w:color w:val="000000"/>
          <w:sz w:val="21"/>
        </w:rPr>
        <w:t>The Level 2 thymocyte hierarchy reconstructed a conservative developmental ordering from early DN-like and cycling DN states through ISP-like and alpha-beta entry states, cycling and quiescent DP cells and mature CD4 and CD8 single-positive compartments. Regulatory, agonist, gamma-delta, NKT-like and NK states were displayed in parallel rather than forced onto a single linear trajectory. This organization resolves the dominant developmental structure of the thymus while avoiding unsupported assignment of every human cell to a rigid DN1-DN4 sequence.</w:t>
      </w:r>
    </w:p>
    <w:p>
      <w:pPr>
        <w:keepNext w:val="0"/>
        <w:spacing w:after="120" w:line="269" w:lineRule="auto"/>
        <w:ind w:firstLine="317"/>
      </w:pPr>
      <w:r>
        <w:rPr>
          <w:rFonts w:ascii="Times New Roman" w:hAnsi="Times New Roman" w:eastAsia="Times New Roman"/>
          <w:b w:val="0"/>
          <w:i w:val="0"/>
          <w:color w:val="000000"/>
          <w:sz w:val="21"/>
        </w:rPr>
        <w:t>Exploratory sex-adjusted logit-fraction models used the recovered T-lineage pool as the denominator. Directionally, CD8 SP increased with age (coefficient 0.51 per age standard deviation; 95% CI 0.15 to 0.88), while cycling DP decreased (coefficient -0.45; 95% CI -1.00 to 0.09). Gamma-delta, NKT-like and NK states also showed a positive direction (coefficient 0.32; 95% CI 0.06 to 0.58). None of these T-lineage associations passed the within-family BH threshold at q&lt;0.05; they therefore define hypotheses and developmental patterns rather than confirmed subtype-specific age effects. Level 3 donor coverage further shows why rare fine states should not automatically enter formal age models.</w:t>
      </w:r>
    </w:p>
    <w:p>
      <w:pPr>
        <w:pStyle w:val="Heading2"/>
        <w:keepNext/>
        <w:spacing w:before="160" w:after="100"/>
        <w:ind w:firstLine="0"/>
      </w:pPr>
      <w:r>
        <w:rPr>
          <w:rFonts w:ascii="Times New Roman" w:hAnsi="Times New Roman" w:eastAsia="Times New Roman"/>
          <w:b/>
          <w:color w:val="000000"/>
          <w:sz w:val="23"/>
        </w:rPr>
        <w:t>Epithelial and stromal compartments define a complementary niche axis</w:t>
      </w:r>
    </w:p>
    <w:p>
      <w:pPr>
        <w:keepNext w:val="0"/>
        <w:spacing w:after="120" w:line="269" w:lineRule="auto"/>
        <w:ind w:firstLine="317"/>
      </w:pPr>
      <w:r>
        <w:rPr>
          <w:rFonts w:ascii="Times New Roman" w:hAnsi="Times New Roman" w:eastAsia="Times New Roman"/>
          <w:b w:val="0"/>
          <w:i w:val="0"/>
          <w:color w:val="000000"/>
          <w:sz w:val="21"/>
        </w:rPr>
        <w:t>Because thymic aging is inseparable from the niche that supports thymopoiesis, we analyzed TEC, fibroblast, endothelial and myeloid compartments alongside the thymocyte trajectory. The Level 2 system resolved cTEC, mTEC and specialized TEC groups while retaining fibroblast and vascular populations as separate broad compartments. These labels provide an interpretable bridge between the robust broad atlas and the much sparser source fine states.</w:t>
      </w:r>
    </w:p>
    <w:p>
      <w:pPr>
        <w:keepNext w:val="0"/>
        <w:spacing w:after="120" w:line="269" w:lineRule="auto"/>
        <w:ind w:firstLine="317"/>
      </w:pPr>
      <w:r>
        <w:rPr>
          <w:rFonts w:ascii="Times New Roman" w:hAnsi="Times New Roman" w:eastAsia="Times New Roman"/>
          <w:b w:val="0"/>
          <w:i w:val="0"/>
          <w:color w:val="000000"/>
          <w:sz w:val="21"/>
        </w:rPr>
        <w:t>Within the recovered TEC compartment, cTEC decreased with age (coefficient -0.58; 95% CI -0.91 to -0.25; within-family q=0.0009), whereas specialized TEC increased (coefficient 0.51; 95% CI 0.26 to 0.76; q=0.0002). mTEC showed a positive direction but did not meet the family-wise threshold. The fibroblast-versus-endothelial balance showed no evidence of an age association in this small cohort (q=0.54). These estimates are conditional on cells recovered within each compartment and may reflect sampling, annotation and cell-state shifts; they do not establish absolute loss or expansion in native thymus tissue.</w:t>
      </w:r>
    </w:p>
    <w:p>
      <w:pPr>
        <w:keepNext w:val="0"/>
        <w:spacing w:after="120" w:line="269" w:lineRule="auto"/>
        <w:ind w:firstLine="317"/>
      </w:pPr>
      <w:r>
        <w:rPr>
          <w:rFonts w:ascii="Times New Roman" w:hAnsi="Times New Roman" w:eastAsia="Times New Roman"/>
          <w:b w:val="0"/>
          <w:i w:val="0"/>
          <w:color w:val="000000"/>
          <w:sz w:val="21"/>
        </w:rPr>
        <w:t>Gene-context effects in TEC, fibroblast and dendritic-cell compartments revealed both shared and compartment-restricted age-associated programs. Existing pathway-overlap outputs linked candidate genes to immune signaling, extracellular matrix and stress-response categories, but these overlaps are used as an organizing layer rather than de novo subtype-specific enrichment. The niche results therefore provide a focused biological axis for future validation: age-associated changes in epithelial identity and support functions may accompany the redistribution of developing thymocyte states.</w:t>
      </w:r>
    </w:p>
    <w:p>
      <w:pPr>
        <w:pStyle w:val="Heading2"/>
        <w:keepNext/>
        <w:spacing w:before="160" w:after="100"/>
        <w:ind w:firstLine="0"/>
      </w:pPr>
      <w:r>
        <w:rPr>
          <w:rFonts w:ascii="Times New Roman" w:hAnsi="Times New Roman" w:eastAsia="Times New Roman"/>
          <w:b/>
          <w:color w:val="000000"/>
          <w:sz w:val="23"/>
        </w:rPr>
        <w:t>Shared and context restricted molecular programs accompany cellular remodeling</w:t>
      </w:r>
    </w:p>
    <w:p>
      <w:pPr>
        <w:keepNext w:val="0"/>
        <w:spacing w:after="120" w:line="269" w:lineRule="auto"/>
        <w:ind w:firstLine="317"/>
      </w:pPr>
      <w:r>
        <w:rPr>
          <w:rFonts w:ascii="Times New Roman" w:hAnsi="Times New Roman" w:eastAsia="Times New Roman"/>
          <w:b w:val="0"/>
          <w:i w:val="0"/>
          <w:color w:val="000000"/>
          <w:sz w:val="21"/>
        </w:rPr>
        <w:t>Donor-level mixed-library pseudobulk analysis identified 2,851 positive and 1,639 negative age coefficients at BH q&lt;0.05. Because the libraries were experimentally recombined, these coefficients integrate within-cell-state expression changes with shifts among recovered cells. Separate donor pseudobulk models across 12 contexts localized age associations to thymocyte, immune, epithelial and stromal compartments. The number of significant genes differed markedly among contexts, but these counts cannot be ranked as effect strength because donor coverage, cell number and the tested gene universe vary by context.</w:t>
      </w:r>
    </w:p>
    <w:p>
      <w:pPr>
        <w:keepNext w:val="0"/>
        <w:spacing w:after="120" w:line="269" w:lineRule="auto"/>
        <w:ind w:firstLine="317"/>
      </w:pPr>
      <w:r>
        <w:rPr>
          <w:rFonts w:ascii="Times New Roman" w:hAnsi="Times New Roman" w:eastAsia="Times New Roman"/>
          <w:b w:val="0"/>
          <w:i w:val="0"/>
          <w:color w:val="000000"/>
          <w:sz w:val="21"/>
        </w:rPr>
        <w:t>The cross-context matrix distinguished genes with concordant effects across compartments from genes whose age association was restricted to one or a few cellular contexts. We connected these associations to machine-learning selection, HumanThymusFormer attribution, pooled developmental localization and public mouse RNA or chromatin direction. Each layer remains visible rather than being collapsed into a single biomarker score. This preserves disagreements and missingness and prevents contextual support from being misrepresented as independent validation or causality.</w:t>
      </w:r>
    </w:p>
    <w:p>
      <w:pPr>
        <w:pStyle w:val="Heading2"/>
        <w:keepNext/>
        <w:spacing w:before="160" w:after="100"/>
        <w:ind w:firstLine="0"/>
      </w:pPr>
      <w:r>
        <w:rPr>
          <w:rFonts w:ascii="Times New Roman" w:hAnsi="Times New Roman" w:eastAsia="Times New Roman"/>
          <w:b/>
          <w:color w:val="000000"/>
          <w:sz w:val="23"/>
        </w:rPr>
        <w:t>An interactive resource makes biological evidence and its boundaries inspectable</w:t>
      </w:r>
    </w:p>
    <w:p>
      <w:pPr>
        <w:keepNext w:val="0"/>
        <w:spacing w:after="120" w:line="269" w:lineRule="auto"/>
        <w:ind w:firstLine="317"/>
      </w:pPr>
      <w:r>
        <w:rPr>
          <w:rFonts w:ascii="Times New Roman" w:hAnsi="Times New Roman" w:eastAsia="Times New Roman"/>
          <w:b w:val="0"/>
          <w:i w:val="0"/>
          <w:color w:val="000000"/>
          <w:sz w:val="21"/>
        </w:rPr>
        <w:t>The website was redesigned around the biological story rather than the prediction model. It now exposes the hierarchical cell atlas, thymocyte development, TEC and stromal compartments, gene-context effects, donor evidence, model diagnostics and downloads as separate views. The resource indexes 17,181 genes and 103,094 gene-context rows and links plotted results to source tables. Users can recolor the UMAP by annotation level, filter fine states by coverage status, inspect donor trajectories and download the data underlying each display.</w:t>
      </w:r>
    </w:p>
    <w:p>
      <w:pPr>
        <w:keepNext w:val="0"/>
        <w:spacing w:after="120" w:line="269" w:lineRule="auto"/>
        <w:ind w:firstLine="317"/>
      </w:pPr>
      <w:r>
        <w:rPr>
          <w:rFonts w:ascii="Times New Roman" w:hAnsi="Times New Roman" w:eastAsia="Times New Roman"/>
          <w:b w:val="0"/>
          <w:i w:val="0"/>
          <w:color w:val="000000"/>
          <w:sz w:val="21"/>
        </w:rPr>
        <w:t>Evidence categories are encoded explicitly. Primary results are donor-level Level 1 expression and broad composition analyses. Level 2 and Level 3 fraction models are exploratory. Human developmental and mouse data provide localization or directional context. The external frozen-model transfer is a technical feasibility experiment. Missing evidence remains missing rather than being interpreted as a negative result. This architecture turns the website into an audit trail and hypothesis-generation tool rather than a clinical scoring interface.</w:t>
      </w:r>
    </w:p>
    <w:p>
      <w:pPr>
        <w:pStyle w:val="Heading2"/>
        <w:keepNext/>
        <w:spacing w:before="160" w:after="100"/>
        <w:ind w:firstLine="0"/>
      </w:pPr>
      <w:r>
        <w:rPr>
          <w:rFonts w:ascii="Times New Roman" w:hAnsi="Times New Roman" w:eastAsia="Times New Roman"/>
          <w:b/>
          <w:color w:val="000000"/>
          <w:sz w:val="23"/>
        </w:rPr>
        <w:t>Age prediction is a secondary diagnostic and not the biological endpoint</w:t>
      </w:r>
    </w:p>
    <w:p>
      <w:pPr>
        <w:keepNext w:val="0"/>
        <w:spacing w:after="120" w:line="269" w:lineRule="auto"/>
        <w:ind w:firstLine="317"/>
      </w:pPr>
      <w:r>
        <w:rPr>
          <w:rFonts w:ascii="Times New Roman" w:hAnsi="Times New Roman" w:eastAsia="Times New Roman"/>
          <w:b w:val="0"/>
          <w:i w:val="0"/>
          <w:color w:val="000000"/>
          <w:sz w:val="21"/>
        </w:rPr>
        <w:t>The leakage-controlled Elastic Net model was evaluated by nested leave-one-donor-out cross-validation. From the frozen 18-row out-of-fold table, R2 was 0.662, MAE 9.39 years, RMSE 11.60 years and Spearman rho 0.851. These values show that the discovery cohort contains reproducible multivariate age information under internal held-out-donor evaluation. They do not establish transportability, calibration or clinical utility.</w:t>
      </w:r>
    </w:p>
    <w:p>
      <w:pPr>
        <w:keepNext w:val="0"/>
        <w:spacing w:after="120" w:line="269" w:lineRule="auto"/>
        <w:ind w:firstLine="317"/>
      </w:pPr>
      <w:r>
        <w:rPr>
          <w:rFonts w:ascii="Times New Roman" w:hAnsi="Times New Roman" w:eastAsia="Times New Roman"/>
          <w:b w:val="0"/>
          <w:i w:val="0"/>
          <w:color w:val="000000"/>
          <w:sz w:val="21"/>
        </w:rPr>
        <w:t>A prespecified frozen-model transfer to four independent HRA007984 adults could be executed without feature reselection, refitting or calibration, but performance was heterogeneous (MAE 11.90 years; R2 -0.337). The experiment therefore supports the statement that the frozen pipeline can run across cohorts. It does not support the stronger statement that the model reliably predicts clinical age in new cohorts. HumanThymusFormer is similarly retained as an interpretive attribution layer because its strict fold-internal predictive performance was below the Elastic Net result. The biological conclusions of this manuscript do not depend on either model being a successful age clock.</w:t>
      </w:r>
    </w:p>
    <w:p>
      <w:pPr>
        <w:pStyle w:val="Heading1"/>
        <w:keepNext/>
        <w:spacing w:before="240" w:after="100"/>
        <w:ind w:firstLine="0"/>
      </w:pPr>
      <w:r>
        <w:rPr>
          <w:rFonts w:ascii="Times New Roman" w:hAnsi="Times New Roman" w:eastAsia="Times New Roman"/>
          <w:b/>
          <w:color w:val="000000"/>
          <w:sz w:val="26"/>
        </w:rPr>
        <w:t>Discussion</w:t>
      </w:r>
    </w:p>
    <w:p>
      <w:pPr>
        <w:keepNext w:val="0"/>
        <w:spacing w:after="120" w:line="269" w:lineRule="auto"/>
        <w:ind w:firstLine="317"/>
      </w:pPr>
      <w:r>
        <w:rPr>
          <w:rFonts w:ascii="Times New Roman" w:hAnsi="Times New Roman" w:eastAsia="Times New Roman"/>
          <w:b w:val="0"/>
          <w:i w:val="0"/>
          <w:color w:val="000000"/>
          <w:sz w:val="21"/>
        </w:rPr>
        <w:t>This reanalysis reframes the project as a donor-resolved biological atlas rather than a clinical age-clock study. Its central result is an evidence hierarchy that connects thymocyte development to epithelial and stromal remodeling while preserving the donor as the unit of replication. The three-level annotation system resolves biologically meaningful states without forcing rare fine labels into underpowered statistical models. This makes the atlas more informative than a broad UMAP while retaining a stable basis for the primary age analyses.</w:t>
      </w:r>
    </w:p>
    <w:p>
      <w:pPr>
        <w:keepNext w:val="0"/>
        <w:spacing w:after="120" w:line="269" w:lineRule="auto"/>
        <w:ind w:firstLine="317"/>
      </w:pPr>
      <w:r>
        <w:rPr>
          <w:rFonts w:ascii="Times New Roman" w:hAnsi="Times New Roman" w:eastAsia="Times New Roman"/>
          <w:b w:val="0"/>
          <w:i w:val="0"/>
          <w:color w:val="000000"/>
          <w:sz w:val="21"/>
        </w:rPr>
        <w:t>The thymocyte layer suggests an age-associated redistribution from proliferative and double-positive compartments toward mature and innate-like T-lineage states. However, the family-wise adjusted fine-state models did not meet q&lt;0.05, and the directional pattern should be treated as hypothesis-generating. The stronger exploratory signal within the recovered TEC compartment - lower cTEC and higher specialized TEC fractions with age - provides a focused niche hypothesis. It is compatible with age-related epithelial dysfunction and altered thymopoietic support described in prior studies [7-10, 14, 40-44], but the present data do not establish mechanism or absolute tissue abundance.</w:t>
      </w:r>
    </w:p>
    <w:p>
      <w:pPr>
        <w:keepNext w:val="0"/>
        <w:spacing w:after="120" w:line="269" w:lineRule="auto"/>
        <w:ind w:firstLine="317"/>
      </w:pPr>
      <w:r>
        <w:rPr>
          <w:rFonts w:ascii="Times New Roman" w:hAnsi="Times New Roman" w:eastAsia="Times New Roman"/>
          <w:b w:val="0"/>
          <w:i w:val="0"/>
          <w:color w:val="000000"/>
          <w:sz w:val="21"/>
        </w:rPr>
        <w:t>The website is part of the scientific contribution rather than a display-only supplement. By exposing annotation level, donor coverage, denominator, model type and evidence source, it allows readers to see why two apparently similar results may have different evidential weight. This design is particularly important for single-cell aging studies, where the visual density of cells can disguise a small number of independent donors. The downloadable tables and build manifest also make it possible to revise individual modules without silently changing claim boundaries.</w:t>
      </w:r>
    </w:p>
    <w:p>
      <w:pPr>
        <w:keepNext w:val="0"/>
        <w:spacing w:after="120" w:line="269" w:lineRule="auto"/>
        <w:ind w:firstLine="317"/>
      </w:pPr>
      <w:r>
        <w:rPr>
          <w:rFonts w:ascii="Times New Roman" w:hAnsi="Times New Roman" w:eastAsia="Times New Roman"/>
          <w:b w:val="0"/>
          <w:i w:val="0"/>
          <w:color w:val="000000"/>
          <w:sz w:val="21"/>
        </w:rPr>
        <w:t>Several limitations remain. The study contains 18 donors, including only four males, and donor-level clinical, procurement and batch variables are incompletely resolved in the reviewed public metadata. The nominal 6:4 recombination of sorted CD45-positive and CD45-negative cells prevents inference of intact-thymus composition or absolute cell numbers. Level 3 labels are inherited from the source hierarchy and require marker and reference-mapping review before being presented as a newly validated fine atlas. Fine-state models are post hoc and exploratory. Developmental and mouse datasets provide context rather than human aging replication. Finally, the four-donor external transfer is too small and too shifted in feature distribution to validate an age clock.</w:t>
      </w:r>
    </w:p>
    <w:p>
      <w:pPr>
        <w:keepNext w:val="0"/>
        <w:spacing w:after="120" w:line="269" w:lineRule="auto"/>
        <w:ind w:firstLine="317"/>
      </w:pPr>
      <w:r>
        <w:rPr>
          <w:rFonts w:ascii="Times New Roman" w:hAnsi="Times New Roman" w:eastAsia="Times New Roman"/>
          <w:b w:val="0"/>
          <w:i w:val="0"/>
          <w:color w:val="000000"/>
          <w:sz w:val="21"/>
        </w:rPr>
        <w:t>The next experimental priority is not simply to collect another dataset for prediction. A more informative validation program would recruit a larger donor-resolved adult thymus cohort with explicit clinical, procurement and processing metadata, harmonized sample preparation and sufficient representation of epithelial and stromal compartments. Reference mapping and marker review should be performed before freezing Level 3 labels. Prespecified donor-level tests could then evaluate the cTEC-to-specialized-TEC shift, thymocyte developmental redistribution and selected molecular programs. Only after these biological and technical requirements are met should a predictive model be evaluated for calibrated external performance.</w:t>
      </w:r>
    </w:p>
    <w:p>
      <w:pPr>
        <w:pStyle w:val="Heading1"/>
        <w:keepNext/>
        <w:spacing w:before="240" w:after="100"/>
        <w:ind w:firstLine="0"/>
      </w:pPr>
      <w:r>
        <w:rPr>
          <w:rFonts w:ascii="Times New Roman" w:hAnsi="Times New Roman" w:eastAsia="Times New Roman"/>
          <w:b/>
          <w:color w:val="000000"/>
          <w:sz w:val="26"/>
        </w:rPr>
        <w:t>Methods</w:t>
      </w:r>
    </w:p>
    <w:p>
      <w:pPr>
        <w:pStyle w:val="Heading2"/>
        <w:keepNext/>
        <w:spacing w:before="160" w:after="100"/>
        <w:ind w:firstLine="0"/>
      </w:pPr>
      <w:r>
        <w:rPr>
          <w:rFonts w:ascii="Times New Roman" w:hAnsi="Times New Roman" w:eastAsia="Times New Roman"/>
          <w:b/>
          <w:color w:val="000000"/>
          <w:sz w:val="23"/>
        </w:rPr>
        <w:t>Study design and data sources</w:t>
      </w:r>
    </w:p>
    <w:p>
      <w:pPr>
        <w:keepNext w:val="0"/>
        <w:spacing w:after="120" w:line="269" w:lineRule="auto"/>
        <w:ind w:firstLine="317"/>
      </w:pPr>
      <w:r>
        <w:rPr>
          <w:rFonts w:ascii="Times New Roman" w:hAnsi="Times New Roman" w:eastAsia="Times New Roman"/>
          <w:b w:val="0"/>
          <w:i w:val="0"/>
          <w:color w:val="000000"/>
          <w:sz w:val="21"/>
        </w:rPr>
        <w:t>GSE231906 was the primary human thymus single-cell RNA-sequencing cohort [26]. Eighteen eligible donors aged 4 to 69 years were retained, and the donor was the independent unit. Continuous age was the primary exposure. HRA007984 was used only for a prespecified no-refitting transfer after discovery-model parameters were frozen. GSE195812 provided pooled human thymocyte developmental localization [27]. Public mouse datasets supplied directional context [28, 29]. Contextual datasets were not counted as independent validation of the human age model.</w:t>
      </w:r>
    </w:p>
    <w:p>
      <w:pPr>
        <w:pStyle w:val="Heading2"/>
        <w:keepNext/>
        <w:spacing w:before="160" w:after="100"/>
        <w:ind w:firstLine="0"/>
      </w:pPr>
      <w:r>
        <w:rPr>
          <w:rFonts w:ascii="Times New Roman" w:hAnsi="Times New Roman" w:eastAsia="Times New Roman"/>
          <w:b/>
          <w:color w:val="000000"/>
          <w:sz w:val="23"/>
        </w:rPr>
        <w:t>Cell preprocessing and Level 1 annotation</w:t>
      </w:r>
    </w:p>
    <w:p>
      <w:pPr>
        <w:keepNext w:val="0"/>
        <w:spacing w:after="120" w:line="269" w:lineRule="auto"/>
        <w:ind w:firstLine="317"/>
      </w:pPr>
      <w:r>
        <w:rPr>
          <w:rFonts w:ascii="Times New Roman" w:hAnsi="Times New Roman" w:eastAsia="Times New Roman"/>
          <w:b w:val="0"/>
          <w:i w:val="0"/>
          <w:color w:val="000000"/>
          <w:sz w:val="21"/>
        </w:rPr>
        <w:t>Only the Gene Expression modality was retained. Cell-level quality control followed the frozen processing workflow: 500 to 8,000 detected genes, 1,000 to 60,000 total UMI counts and mitochondrial transcript fraction no greater than 15%. Scrublet was used for doublet auditing [46]. Broad annotation integrated source labels, canonical marker evidence and donor-library reconciliation. Unknown or unresolved cells were retained where required for denominators and audits but excluded from selected feature analyses.</w:t>
      </w:r>
    </w:p>
    <w:p>
      <w:pPr>
        <w:pStyle w:val="Heading2"/>
        <w:keepNext/>
        <w:spacing w:before="160" w:after="100"/>
        <w:ind w:firstLine="0"/>
      </w:pPr>
      <w:r>
        <w:rPr>
          <w:rFonts w:ascii="Times New Roman" w:hAnsi="Times New Roman" w:eastAsia="Times New Roman"/>
          <w:b/>
          <w:color w:val="000000"/>
          <w:sz w:val="23"/>
        </w:rPr>
        <w:t>Hierarchical annotation and coverage audit</w:t>
      </w:r>
    </w:p>
    <w:p>
      <w:pPr>
        <w:keepNext w:val="0"/>
        <w:spacing w:after="120" w:line="269" w:lineRule="auto"/>
        <w:ind w:firstLine="317"/>
      </w:pPr>
      <w:r>
        <w:rPr>
          <w:rFonts w:ascii="Times New Roman" w:hAnsi="Times New Roman" w:eastAsia="Times New Roman"/>
          <w:b w:val="0"/>
          <w:i w:val="0"/>
          <w:color w:val="000000"/>
          <w:sz w:val="21"/>
        </w:rPr>
        <w:t>Level 1 groups the existing broad labels into thymocyte or T lineage, B lineage, myeloid or dendritic cells, TEC, fibroblast, endothelial and unresolved compartments. Level 2 conservatively consolidates source Level 4 labels. DN_P was assigned to cycling DN, ISP-like was retained, ETP, TP1, TP2, DN_Q1 and DN_Q2 were grouped as early DN-like, DP_P as cycling DP, DP_Q as quiescent DP and HSP_DP as HSP-associated DP. TEC source labels were grouped as cTEC, mTEC or specialized TEC. Level 3 retains the source Level 4 label and falls back to an unresolved broad label when needed. A Level 3 state was eligible by coverage when it contained at least 100 cells from at least 12 donors; states with at least 20 cells from at least 8 donors were exploratory only; all others were descriptive only. These thresholds govern statistical use and do not independently validate label identity.</w:t>
      </w:r>
    </w:p>
    <w:p>
      <w:pPr>
        <w:pStyle w:val="Heading2"/>
        <w:keepNext/>
        <w:spacing w:before="160" w:after="100"/>
        <w:ind w:firstLine="0"/>
      </w:pPr>
      <w:r>
        <w:rPr>
          <w:rFonts w:ascii="Times New Roman" w:hAnsi="Times New Roman" w:eastAsia="Times New Roman"/>
          <w:b/>
          <w:color w:val="000000"/>
          <w:sz w:val="23"/>
        </w:rPr>
        <w:t>Donor-level fractions and exploratory age models</w:t>
      </w:r>
    </w:p>
    <w:p>
      <w:pPr>
        <w:keepNext w:val="0"/>
        <w:spacing w:after="120" w:line="269" w:lineRule="auto"/>
        <w:ind w:firstLine="317"/>
      </w:pPr>
      <w:r>
        <w:rPr>
          <w:rFonts w:ascii="Times New Roman" w:hAnsi="Times New Roman" w:eastAsia="Times New Roman"/>
          <w:b w:val="0"/>
          <w:i w:val="0"/>
          <w:color w:val="000000"/>
          <w:sz w:val="21"/>
        </w:rPr>
        <w:t>For each Level 2 class, cells were counted within donor. Thymocyte fractions used the recovered T-lineage pool as denominator; TEC fractions used recovered TEC; stromal-vascular fractions used recovered fibroblast and endothelial cells. A 0.5 continuity correction was applied before logit transformation. For each class, an exploratory ordinary least-squares model related the logit fraction to standardized age and sex. HC3 heteroskedasticity-consistent standard errors were used [52], and P values were adjusted within biological family by the Benjamini-Hochberg procedure [50]. These models are exploratory and do not estimate cell abundance in intact thymus.</w:t>
      </w:r>
    </w:p>
    <w:p>
      <w:pPr>
        <w:pStyle w:val="Heading2"/>
        <w:keepNext/>
        <w:spacing w:before="160" w:after="100"/>
        <w:ind w:firstLine="0"/>
      </w:pPr>
      <w:r>
        <w:rPr>
          <w:rFonts w:ascii="Times New Roman" w:hAnsi="Times New Roman" w:eastAsia="Times New Roman"/>
          <w:b/>
          <w:color w:val="000000"/>
          <w:sz w:val="23"/>
        </w:rPr>
        <w:t>Donor pseudobulk and gene-context effects</w:t>
      </w:r>
    </w:p>
    <w:p>
      <w:pPr>
        <w:keepNext w:val="0"/>
        <w:spacing w:after="120" w:line="269" w:lineRule="auto"/>
        <w:ind w:firstLine="317"/>
      </w:pPr>
      <w:r>
        <w:rPr>
          <w:rFonts w:ascii="Times New Roman" w:hAnsi="Times New Roman" w:eastAsia="Times New Roman"/>
          <w:b w:val="0"/>
          <w:i w:val="0"/>
          <w:color w:val="000000"/>
          <w:sz w:val="21"/>
        </w:rPr>
        <w:t>Raw counts were aggregated by donor to avoid cell-level pseudoreplication [18, 19]. Mixed-library and cell-context pseudobulk counts were filtered, TMM-normalized with edgeR and modeled with limma-voom using standardized continuous age and sex as covariates [47-49]. Multiple testing was controlled by the Benjamini-Hochberg procedure [50]. The mixed-library coefficients describe the experimentally assembled sequencing library and may combine within-context regulation with changes among recovered cells.</w:t>
      </w:r>
    </w:p>
    <w:p>
      <w:pPr>
        <w:pStyle w:val="Heading2"/>
        <w:keepNext/>
        <w:spacing w:before="160" w:after="100"/>
        <w:ind w:firstLine="0"/>
      </w:pPr>
      <w:r>
        <w:rPr>
          <w:rFonts w:ascii="Times New Roman" w:hAnsi="Times New Roman" w:eastAsia="Times New Roman"/>
          <w:b/>
          <w:color w:val="000000"/>
          <w:sz w:val="23"/>
        </w:rPr>
        <w:t>Evidence integration and interactive resource</w:t>
      </w:r>
    </w:p>
    <w:p>
      <w:pPr>
        <w:keepNext w:val="0"/>
        <w:spacing w:after="120" w:line="269" w:lineRule="auto"/>
        <w:ind w:firstLine="317"/>
      </w:pPr>
      <w:r>
        <w:rPr>
          <w:rFonts w:ascii="Times New Roman" w:hAnsi="Times New Roman" w:eastAsia="Times New Roman"/>
          <w:b w:val="0"/>
          <w:i w:val="0"/>
          <w:color w:val="000000"/>
          <w:sz w:val="21"/>
        </w:rPr>
        <w:t>Gene-context coefficients, cell-context summaries, pathway overlaps, machine-learning membership, HumanThymusFormer attribution, pooled developmental localization and mouse directional support were retained as separate fields. The Streamlit application reads the frozen release tables together with the biology-atlas v2 hierarchy. UMAP displays are downsampled only for rendering; audit tables are complete. The application provides no clinical score and does not allow community uploads to overwrite the frozen release.</w:t>
      </w:r>
    </w:p>
    <w:p>
      <w:pPr>
        <w:pStyle w:val="Heading2"/>
        <w:keepNext/>
        <w:spacing w:before="160" w:after="100"/>
        <w:ind w:firstLine="0"/>
      </w:pPr>
      <w:r>
        <w:rPr>
          <w:rFonts w:ascii="Times New Roman" w:hAnsi="Times New Roman" w:eastAsia="Times New Roman"/>
          <w:b/>
          <w:color w:val="000000"/>
          <w:sz w:val="23"/>
        </w:rPr>
        <w:t>Prediction analyses</w:t>
      </w:r>
    </w:p>
    <w:p>
      <w:pPr>
        <w:keepNext w:val="0"/>
        <w:spacing w:after="120" w:line="269" w:lineRule="auto"/>
        <w:ind w:firstLine="317"/>
      </w:pPr>
      <w:r>
        <w:rPr>
          <w:rFonts w:ascii="Times New Roman" w:hAnsi="Times New Roman" w:eastAsia="Times New Roman"/>
          <w:b w:val="0"/>
          <w:i w:val="0"/>
          <w:color w:val="000000"/>
          <w:sz w:val="21"/>
        </w:rPr>
        <w:t>The Elastic Net model used nested leave-one-donor-out evaluation. Missingness filtering, variance filtering, univariate screening, imputation, scaling and tuning were repeated exclusively within the outer training donors before predicting the held-out donor once [21-25, 54]. The HRA007984 transfer used the frozen feature order, imputation values, scaling parameters, coefficients and intercept without external refitting or calibration. HumanThymusFormer attribution is treated as post-hoc model interpretation rather than a causal or clinical result [59, 60].</w:t>
      </w:r>
    </w:p>
    <w:p>
      <w:pPr>
        <w:pStyle w:val="Heading2"/>
        <w:keepNext/>
        <w:spacing w:before="160" w:after="100"/>
        <w:ind w:firstLine="0"/>
      </w:pPr>
      <w:r>
        <w:rPr>
          <w:rFonts w:ascii="Times New Roman" w:hAnsi="Times New Roman" w:eastAsia="Times New Roman"/>
          <w:b/>
          <w:color w:val="000000"/>
          <w:sz w:val="23"/>
        </w:rPr>
        <w:t>Reproducibility</w:t>
      </w:r>
    </w:p>
    <w:p>
      <w:pPr>
        <w:keepNext w:val="0"/>
        <w:spacing w:after="120" w:line="269" w:lineRule="auto"/>
        <w:ind w:firstLine="317"/>
      </w:pPr>
      <w:r>
        <w:rPr>
          <w:rFonts w:ascii="Times New Roman" w:hAnsi="Times New Roman" w:eastAsia="Times New Roman"/>
          <w:b w:val="0"/>
          <w:i w:val="0"/>
          <w:color w:val="000000"/>
          <w:sz w:val="21"/>
        </w:rPr>
        <w:t>The biology-atlas build script reads the annotated primary-cohort object, exports the hierarchy audits and donor-level exploratory model tables, and writes all figures in PNG, PDF and SVG formats. The Word manuscript is generated from those tables and figures by a separate deterministic script. A build manifest records source and generated paths. The repository also retains the original frozen broad-cell release so that the biology-centered revision does not silently replace the previous analysis.</w:t>
      </w:r>
    </w:p>
    <w:p>
      <w:pPr>
        <w:pStyle w:val="Heading1"/>
        <w:keepNext/>
        <w:spacing w:before="240" w:after="100"/>
        <w:ind w:firstLine="0"/>
      </w:pPr>
      <w:r>
        <w:rPr>
          <w:rFonts w:ascii="Times New Roman" w:hAnsi="Times New Roman" w:eastAsia="Times New Roman"/>
          <w:b/>
          <w:color w:val="000000"/>
          <w:sz w:val="26"/>
        </w:rPr>
        <w:t>Data and code availability</w:t>
      </w:r>
    </w:p>
    <w:p>
      <w:pPr>
        <w:keepNext w:val="0"/>
        <w:spacing w:after="120" w:line="269" w:lineRule="auto"/>
        <w:ind w:firstLine="317"/>
      </w:pPr>
      <w:r>
        <w:rPr>
          <w:rFonts w:ascii="Times New Roman" w:hAnsi="Times New Roman" w:eastAsia="Times New Roman"/>
          <w:b w:val="0"/>
          <w:i w:val="0"/>
          <w:color w:val="000000"/>
          <w:sz w:val="21"/>
        </w:rPr>
        <w:t>The analysis code, interactive application, source schemas, release tables and biology-atlas v2 build scripts are organized in the Human-Thymic-Aging-Atlas repository. Public accession identifiers used in the analysis are reported in the Methods. Before submission, the authors should verify the public repository URL, archival DOI, licensing terms and any accession-specific data-use statements in the journal version.</w:t>
      </w:r>
    </w:p>
    <w:p>
      <w:pPr>
        <w:pStyle w:val="Heading1"/>
        <w:keepNext/>
        <w:spacing w:before="240" w:after="100"/>
        <w:ind w:firstLine="0"/>
      </w:pPr>
      <w:r>
        <w:rPr>
          <w:rFonts w:ascii="Times New Roman" w:hAnsi="Times New Roman" w:eastAsia="Times New Roman"/>
          <w:b/>
          <w:color w:val="000000"/>
          <w:sz w:val="26"/>
        </w:rPr>
        <w:t>Ethics and declarations</w:t>
      </w:r>
    </w:p>
    <w:p>
      <w:pPr>
        <w:keepNext w:val="0"/>
        <w:spacing w:after="120" w:line="269" w:lineRule="auto"/>
        <w:ind w:firstLine="317"/>
      </w:pPr>
      <w:r>
        <w:rPr>
          <w:rFonts w:ascii="Times New Roman" w:hAnsi="Times New Roman" w:eastAsia="Times New Roman"/>
          <w:b w:val="0"/>
          <w:i w:val="0"/>
          <w:color w:val="000000"/>
          <w:sz w:val="21"/>
        </w:rPr>
        <w:t>This study reanalyzes publicly available de-identified data and reports no new human or animal experiment. Ethics approvals and consent statements belong to the source studies. The authors must confirm the institutional determination for this secondary analysis and provide verified funding, conflict-of-interest, author-contribution, acknowledgment and AI-assistance statements before submission; no approval identifier or declaration is inferred here.</w:t>
      </w:r>
    </w:p>
    <w:p>
      <w:pPr>
        <w:pStyle w:val="Heading1"/>
        <w:keepNext/>
        <w:spacing w:before="240" w:after="100"/>
        <w:ind w:firstLine="0"/>
      </w:pPr>
      <w:r>
        <w:rPr>
          <w:rFonts w:ascii="Times New Roman" w:hAnsi="Times New Roman" w:eastAsia="Times New Roman"/>
          <w:b/>
          <w:color w:val="000000"/>
          <w:sz w:val="26"/>
        </w:rPr>
        <w:t>References</w:t>
      </w:r>
    </w:p>
    <w:p>
      <w:pPr>
        <w:spacing w:after="60" w:line="240" w:lineRule="auto"/>
        <w:ind w:left="317" w:hanging="317"/>
      </w:pPr>
      <w:r>
        <w:rPr>
          <w:rFonts w:ascii="Times New Roman" w:hAnsi="Times New Roman" w:eastAsia="Times New Roman"/>
          <w:color w:val="000000"/>
          <w:sz w:val="16"/>
        </w:rPr>
        <w:t>1. Yousuke Takahama. Journey through the thymus: stromal guides for T-cell development and selection. Nature Reviews Immunology. 2006;6(2):127-135. doi:10.1038/nri1781.</w:t>
      </w:r>
    </w:p>
    <w:p>
      <w:pPr>
        <w:spacing w:after="60" w:line="240" w:lineRule="auto"/>
        <w:ind w:left="317" w:hanging="317"/>
      </w:pPr>
      <w:r>
        <w:rPr>
          <w:rFonts w:ascii="Times New Roman" w:hAnsi="Times New Roman" w:eastAsia="Times New Roman"/>
          <w:color w:val="000000"/>
          <w:sz w:val="16"/>
        </w:rPr>
        <w:t>2. Thomas Boehm, Jeremy B. Swann. Thymus involution and regeneration: two sides of the same coin?. Nature Reviews Immunology. 2013;13(11):831-838. doi:10.1038/nri3534.</w:t>
      </w:r>
    </w:p>
    <w:p>
      <w:pPr>
        <w:spacing w:after="60" w:line="240" w:lineRule="auto"/>
        <w:ind w:left="317" w:hanging="317"/>
      </w:pPr>
      <w:r>
        <w:rPr>
          <w:rFonts w:ascii="Times New Roman" w:hAnsi="Times New Roman" w:eastAsia="Times New Roman"/>
          <w:color w:val="000000"/>
          <w:sz w:val="16"/>
        </w:rPr>
        <w:t>3. Jong-Eun Park, Rachel A. Botting, Cecilia Domínguez Conde, et al. A cell atlas of human thymic development defines T cell repertoire formation. Science. 2020;367(6480):eaay3224. doi:10.1126/science.aay3224.</w:t>
      </w:r>
    </w:p>
    <w:p>
      <w:pPr>
        <w:spacing w:after="60" w:line="240" w:lineRule="auto"/>
        <w:ind w:left="317" w:hanging="317"/>
      </w:pPr>
      <w:r>
        <w:rPr>
          <w:rFonts w:ascii="Times New Roman" w:hAnsi="Times New Roman" w:eastAsia="Times New Roman"/>
          <w:color w:val="000000"/>
          <w:sz w:val="16"/>
        </w:rPr>
        <w:t>4. G. G. Steinmann, B. Klaus, H.-K. Müller-Hermelink. The involution of the ageing human thymic epithelium is independent of puberty. A morphometric study. Scandinavian Journal of Immunology. 1985;22(5):563-575. doi:10.1111/j.1365-3083.1985.tb01916.x.</w:t>
      </w:r>
    </w:p>
    <w:p>
      <w:pPr>
        <w:spacing w:after="60" w:line="240" w:lineRule="auto"/>
        <w:ind w:left="317" w:hanging="317"/>
      </w:pPr>
      <w:r>
        <w:rPr>
          <w:rFonts w:ascii="Times New Roman" w:hAnsi="Times New Roman" w:eastAsia="Times New Roman"/>
          <w:color w:val="000000"/>
          <w:sz w:val="16"/>
        </w:rPr>
        <w:t>5. Kristina G. Flores, Jie Li, Gregory D. Sempowski, et al. Analysis of the human thymic perivascular space during aging. Journal of Clinical Investigation. 1999;104(8):1031-1039. doi:10.1172/jci7558.</w:t>
      </w:r>
    </w:p>
    <w:p>
      <w:pPr>
        <w:spacing w:after="60" w:line="240" w:lineRule="auto"/>
        <w:ind w:left="317" w:hanging="317"/>
      </w:pPr>
      <w:r>
        <w:rPr>
          <w:rFonts w:ascii="Times New Roman" w:hAnsi="Times New Roman" w:eastAsia="Times New Roman"/>
          <w:color w:val="000000"/>
          <w:sz w:val="16"/>
        </w:rPr>
        <w:t>6. Daniel C. Douek, Richard D. McFarland, Philip H. Keiser, et al. Changes in thymic function with age and during the treatment of HIV infection. Nature. 1998;396(6712):690-695. doi:10.1038/25374.</w:t>
      </w:r>
    </w:p>
    <w:p>
      <w:pPr>
        <w:spacing w:after="60" w:line="240" w:lineRule="auto"/>
        <w:ind w:left="317" w:hanging="317"/>
      </w:pPr>
      <w:r>
        <w:rPr>
          <w:rFonts w:ascii="Times New Roman" w:hAnsi="Times New Roman" w:eastAsia="Times New Roman"/>
          <w:color w:val="000000"/>
          <w:sz w:val="16"/>
        </w:rPr>
        <w:t>7. Anja Nusser, Sagar, Jeremy B. Swann, et al. Developmental dynamics of two bipotent thymic epithelial progenitor types. Nature. 2022;606(7912):165-171. doi:10.1038/s41586-022-04752-8.</w:t>
      </w:r>
    </w:p>
    <w:p>
      <w:pPr>
        <w:spacing w:after="60" w:line="240" w:lineRule="auto"/>
        <w:ind w:left="317" w:hanging="317"/>
      </w:pPr>
      <w:r>
        <w:rPr>
          <w:rFonts w:ascii="Times New Roman" w:hAnsi="Times New Roman" w:eastAsia="Times New Roman"/>
          <w:color w:val="000000"/>
          <w:sz w:val="16"/>
        </w:rPr>
        <w:t>8. Kathy E. O’Neill, Nicholas Bredenkamp, Christin Tischner, et al. Foxn1 Is Dynamically Regulated in Thymic Epithelial Cells during Embryogenesis and at the Onset of Thymic Involution. PLOS ONE. 2016;11(3):e0151666. doi:10.1371/journal.pone.0151666.</w:t>
      </w:r>
    </w:p>
    <w:p>
      <w:pPr>
        <w:spacing w:after="60" w:line="240" w:lineRule="auto"/>
        <w:ind w:left="317" w:hanging="317"/>
      </w:pPr>
      <w:r>
        <w:rPr>
          <w:rFonts w:ascii="Times New Roman" w:hAnsi="Times New Roman" w:eastAsia="Times New Roman"/>
          <w:color w:val="000000"/>
          <w:sz w:val="16"/>
        </w:rPr>
        <w:t>9. Enrico Velardi, Jennifer J. Tsai, Amanda M. Holland, et al. Sex steroid blockade enhances thymopoiesis by modulating Notch signaling. Journal of Experimental Medicine. 2014;211(12):2341-2349. doi:10.1084/jem.20131289.</w:t>
      </w:r>
    </w:p>
    <w:p>
      <w:pPr>
        <w:spacing w:after="60" w:line="240" w:lineRule="auto"/>
        <w:ind w:left="317" w:hanging="317"/>
      </w:pPr>
      <w:r>
        <w:rPr>
          <w:rFonts w:ascii="Times New Roman" w:hAnsi="Times New Roman" w:eastAsia="Times New Roman"/>
          <w:color w:val="000000"/>
          <w:sz w:val="16"/>
        </w:rPr>
        <w:t>10. Jayne S Sutherland, Gabrielle L Goldberg, Maree V Hammett, et al. Activation of Thymic Regeneration in Mice and Humans following Androgen Blockade. The Journal of Immunology. 2005;175(4):2741-2753. doi:10.4049/jimmunol.175.4.2741.</w:t>
      </w:r>
    </w:p>
    <w:p>
      <w:pPr>
        <w:spacing w:after="60" w:line="240" w:lineRule="auto"/>
        <w:ind w:left="317" w:hanging="317"/>
      </w:pPr>
      <w:r>
        <w:rPr>
          <w:rFonts w:ascii="Times New Roman" w:hAnsi="Times New Roman" w:eastAsia="Times New Roman"/>
          <w:color w:val="000000"/>
          <w:sz w:val="16"/>
        </w:rPr>
        <w:t>11. Ineke den Braber, Tendai Mugwagwa, Nienke Vrisekoop, et al. Maintenance of Peripheral Naive T Cells Is Sustained by Thymus Output in Mice but Not Humans. Immunity. 2012;36(2):288-297. doi:10.1016/j.immuni.2012.02.006.</w:t>
      </w:r>
    </w:p>
    <w:p>
      <w:pPr>
        <w:spacing w:after="60" w:line="240" w:lineRule="auto"/>
        <w:ind w:left="317" w:hanging="317"/>
      </w:pPr>
      <w:r>
        <w:rPr>
          <w:rFonts w:ascii="Times New Roman" w:hAnsi="Times New Roman" w:eastAsia="Times New Roman"/>
          <w:color w:val="000000"/>
          <w:sz w:val="16"/>
        </w:rPr>
        <w:t>12. Elisa Carrasco, Manuel M. Gómez de las Heras, Enrique Gabandé-Rodríguez, et al. The role of T cells in age-related diseases. Nature Reviews Immunology. 2021;22(2):97-111. doi:10.1038/s41577-021-00557-4.</w:t>
      </w:r>
    </w:p>
    <w:p>
      <w:pPr>
        <w:spacing w:after="60" w:line="240" w:lineRule="auto"/>
        <w:ind w:left="317" w:hanging="317"/>
      </w:pPr>
      <w:r>
        <w:rPr>
          <w:rFonts w:ascii="Times New Roman" w:hAnsi="Times New Roman" w:eastAsia="Times New Roman"/>
          <w:color w:val="000000"/>
          <w:sz w:val="16"/>
        </w:rPr>
        <w:t>13. Enrico Velardi, Jennifer J. Tsai, Marcel R. M. van den Brink. T cell regeneration after immunological injury. Nature Reviews Immunology. 2020;21(5):277-291. doi:10.1038/s41577-020-00457-z.</w:t>
      </w:r>
    </w:p>
    <w:p>
      <w:pPr>
        <w:spacing w:after="60" w:line="240" w:lineRule="auto"/>
        <w:ind w:left="317" w:hanging="317"/>
      </w:pPr>
      <w:r>
        <w:rPr>
          <w:rFonts w:ascii="Times New Roman" w:hAnsi="Times New Roman" w:eastAsia="Times New Roman"/>
          <w:color w:val="000000"/>
          <w:sz w:val="16"/>
        </w:rPr>
        <w:t>14. Anastasia I. Kousa, Lorenz Jahn, Kelin Zhao, et al. Age-related epithelial defects limit thymic function and regeneration. Nature Immunology. 2024;25(9):1593-1606. doi:10.1038/s41590-024-01915-9.</w:t>
      </w:r>
    </w:p>
    <w:p>
      <w:pPr>
        <w:spacing w:after="60" w:line="240" w:lineRule="auto"/>
        <w:ind w:left="317" w:hanging="317"/>
      </w:pPr>
      <w:r>
        <w:rPr>
          <w:rFonts w:ascii="Times New Roman" w:hAnsi="Times New Roman" w:eastAsia="Times New Roman"/>
          <w:color w:val="000000"/>
          <w:sz w:val="16"/>
        </w:rPr>
        <w:t>15. Kameron A. Kooshesh, Brody H. Foy, David B. Sykes, et al. Health Consequences of Thymus Removal in Adults. New England Journal of Medicine. 2023;389(5):406-417. doi:10.1056/nejmoa2302892.</w:t>
      </w:r>
    </w:p>
    <w:p>
      <w:pPr>
        <w:spacing w:after="60" w:line="240" w:lineRule="auto"/>
        <w:ind w:left="317" w:hanging="317"/>
      </w:pPr>
      <w:r>
        <w:rPr>
          <w:rFonts w:ascii="Times New Roman" w:hAnsi="Times New Roman" w:eastAsia="Times New Roman"/>
          <w:color w:val="000000"/>
          <w:sz w:val="16"/>
        </w:rPr>
        <w:t>16. Simon Bernatz, Vasco Prudente, Suraj Pai, et al. Thymic health consequences in adults. Nature. 2026;652(8111):986-994. doi:10.1038/s41586-026-10242-y.</w:t>
      </w:r>
    </w:p>
    <w:p>
      <w:pPr>
        <w:spacing w:after="60" w:line="240" w:lineRule="auto"/>
        <w:ind w:left="317" w:hanging="317"/>
      </w:pPr>
      <w:r>
        <w:rPr>
          <w:rFonts w:ascii="Times New Roman" w:hAnsi="Times New Roman" w:eastAsia="Times New Roman"/>
          <w:color w:val="000000"/>
          <w:sz w:val="16"/>
        </w:rPr>
        <w:t>17. Nicholas Schaum, Benoit Lehallier, Oliver Hahn, et al. Ageing hallmarks exhibit organ-specific temporal signatures. Nature. 2020;583(7817):596-602. doi:10.1038/s41586-020-2499-y.</w:t>
      </w:r>
    </w:p>
    <w:p>
      <w:pPr>
        <w:spacing w:after="60" w:line="240" w:lineRule="auto"/>
        <w:ind w:left="317" w:hanging="317"/>
      </w:pPr>
      <w:r>
        <w:rPr>
          <w:rFonts w:ascii="Times New Roman" w:hAnsi="Times New Roman" w:eastAsia="Times New Roman"/>
          <w:color w:val="000000"/>
          <w:sz w:val="16"/>
        </w:rPr>
        <w:t>18. Kip D. Zimmerman, Mark A. Espeland, Carl D. Langefeld. A practical solution to pseudoreplication bias in single-cell studies. Nature Communications. 2021;12(1):738. doi:10.1038/s41467-021-21038-1.</w:t>
      </w:r>
    </w:p>
    <w:p>
      <w:pPr>
        <w:spacing w:after="60" w:line="240" w:lineRule="auto"/>
        <w:ind w:left="317" w:hanging="317"/>
      </w:pPr>
      <w:r>
        <w:rPr>
          <w:rFonts w:ascii="Times New Roman" w:hAnsi="Times New Roman" w:eastAsia="Times New Roman"/>
          <w:color w:val="000000"/>
          <w:sz w:val="16"/>
        </w:rPr>
        <w:t>19. Jordan W. Squair, Matthieu Gautier, Claudia Kathe, et al. Confronting false discoveries in single-cell differential expression. Nature Communications. 2021;12(1):5692. doi:10.1038/s41467-021-25960-2.</w:t>
      </w:r>
    </w:p>
    <w:p>
      <w:pPr>
        <w:spacing w:after="60" w:line="240" w:lineRule="auto"/>
        <w:ind w:left="317" w:hanging="317"/>
      </w:pPr>
      <w:r>
        <w:rPr>
          <w:rFonts w:ascii="Times New Roman" w:hAnsi="Times New Roman" w:eastAsia="Times New Roman"/>
          <w:color w:val="000000"/>
          <w:sz w:val="16"/>
        </w:rPr>
        <w:t>20. Helena L. Crowell, Charlotte Soneson, Pierre-Luc Germain, et al. muscat detects subpopulation-specific state transitions from multi-sample multi-condition single-cell transcriptomics data. Nature Communications. 2020;11(1):6077. doi:10.1038/s41467-020-19894-4.</w:t>
      </w:r>
    </w:p>
    <w:p>
      <w:pPr>
        <w:spacing w:after="60" w:line="240" w:lineRule="auto"/>
        <w:ind w:left="317" w:hanging="317"/>
      </w:pPr>
      <w:r>
        <w:rPr>
          <w:rFonts w:ascii="Times New Roman" w:hAnsi="Times New Roman" w:eastAsia="Times New Roman"/>
          <w:color w:val="000000"/>
          <w:sz w:val="16"/>
        </w:rPr>
        <w:t>21. Christophe Ambroise, Geoffrey J. McLachlan. Selection bias in gene extraction on the basis of microarray gene-expression data. Proceedings of the National Academy of Sciences. 2002;99(10):6562-6566. doi:10.1073/pnas.102102699.</w:t>
      </w:r>
    </w:p>
    <w:p>
      <w:pPr>
        <w:spacing w:after="60" w:line="240" w:lineRule="auto"/>
        <w:ind w:left="317" w:hanging="317"/>
      </w:pPr>
      <w:r>
        <w:rPr>
          <w:rFonts w:ascii="Times New Roman" w:hAnsi="Times New Roman" w:eastAsia="Times New Roman"/>
          <w:color w:val="000000"/>
          <w:sz w:val="16"/>
        </w:rPr>
        <w:t>22. Sudhir Varma, Richard Simon. Bias in error estimation when using cross-validation for model selection. BMC Bioinformatics. 2006;7(1):91. doi:10.1186/1471-2105-7-91.</w:t>
      </w:r>
    </w:p>
    <w:p>
      <w:pPr>
        <w:spacing w:after="60" w:line="240" w:lineRule="auto"/>
        <w:ind w:left="317" w:hanging="317"/>
      </w:pPr>
      <w:r>
        <w:rPr>
          <w:rFonts w:ascii="Times New Roman" w:hAnsi="Times New Roman" w:eastAsia="Times New Roman"/>
          <w:color w:val="000000"/>
          <w:sz w:val="16"/>
        </w:rPr>
        <w:t>23. Gavin C. Cawley, Nicola L. C. Talbot. On Over-fitting in Model Selection and Subsequent Selection Bias in Performance Evaluation. Journal of Machine Learning Research. 2010;11:2079–2107. https://www.jmlr.org/papers/v11/cawley10a.html.</w:t>
      </w:r>
    </w:p>
    <w:p>
      <w:pPr>
        <w:spacing w:after="60" w:line="240" w:lineRule="auto"/>
        <w:ind w:left="317" w:hanging="317"/>
      </w:pPr>
      <w:r>
        <w:rPr>
          <w:rFonts w:ascii="Times New Roman" w:hAnsi="Times New Roman" w:eastAsia="Times New Roman"/>
          <w:color w:val="000000"/>
          <w:sz w:val="16"/>
        </w:rPr>
        <w:t>24. Andrius Vabalas, Emma Gowen, Ellen Poliakoff, et al. Machine learning algorithm validation with a limited sample size. PLOS ONE. 2019;14(11):e0224365. doi:10.1371/journal.pone.0224365.</w:t>
      </w:r>
    </w:p>
    <w:p>
      <w:pPr>
        <w:spacing w:after="60" w:line="240" w:lineRule="auto"/>
        <w:ind w:left="317" w:hanging="317"/>
      </w:pPr>
      <w:r>
        <w:rPr>
          <w:rFonts w:ascii="Times New Roman" w:hAnsi="Times New Roman" w:eastAsia="Times New Roman"/>
          <w:color w:val="000000"/>
          <w:sz w:val="16"/>
        </w:rPr>
        <w:t>25. Richard D Riley, Joie Ensor, Kym I E Snell, et al. Calculating the sample size required for developing a clinical prediction model. BMJ. 2020;368:m441. doi:10.1136/bmj.m441.</w:t>
      </w:r>
    </w:p>
    <w:p>
      <w:pPr>
        <w:spacing w:after="60" w:line="240" w:lineRule="auto"/>
        <w:ind w:left="317" w:hanging="317"/>
      </w:pPr>
      <w:r>
        <w:rPr>
          <w:rFonts w:ascii="Times New Roman" w:hAnsi="Times New Roman" w:eastAsia="Times New Roman"/>
          <w:color w:val="000000"/>
          <w:sz w:val="16"/>
        </w:rPr>
        <w:t>26. Yujun Deng, Zhengcan Peng, Kang Ming, et al. Single-cell analysis of human thymus and peripheral blood unveils the dynamics of T cell development and aging. Nature Aging. 2025;5(12):2494-2513. doi:10.1038/s43587-025-00990-3.</w:t>
      </w:r>
    </w:p>
    <w:p>
      <w:pPr>
        <w:spacing w:after="60" w:line="240" w:lineRule="auto"/>
        <w:ind w:left="317" w:hanging="317"/>
      </w:pPr>
      <w:r>
        <w:rPr>
          <w:rFonts w:ascii="Times New Roman" w:hAnsi="Times New Roman" w:eastAsia="Times New Roman"/>
          <w:color w:val="000000"/>
          <w:sz w:val="16"/>
        </w:rPr>
        <w:t>27. Martijn Cordes, Kirsten Canté-Barrett, Erik B. van den Akker, et al. Single-cell immune profiling reveals thymus-seeding populations, T cell commitment, and multilineage development in the human thymus. Science Immunology. 2022;7(77):eade0182. doi:10.1126/sciimmunol.ade0182.</w:t>
      </w:r>
    </w:p>
    <w:p>
      <w:pPr>
        <w:spacing w:after="60" w:line="240" w:lineRule="auto"/>
        <w:ind w:left="317" w:hanging="317"/>
      </w:pPr>
      <w:r>
        <w:rPr>
          <w:rFonts w:ascii="Times New Roman" w:hAnsi="Times New Roman" w:eastAsia="Times New Roman"/>
          <w:color w:val="000000"/>
          <w:sz w:val="16"/>
        </w:rPr>
        <w:t>28. Thomas Venables, Ann V. Griffith, Alice DeAraujo, et al. Dynamic changes in epithelial cell morphology control thymic organ size during atrophy and regeneration. Nature Communications. 2019;10(1):4402. doi:10.1038/s41467-019-11879-2.</w:t>
      </w:r>
    </w:p>
    <w:p>
      <w:pPr>
        <w:spacing w:after="60" w:line="240" w:lineRule="auto"/>
        <w:ind w:left="317" w:hanging="317"/>
      </w:pPr>
      <w:r>
        <w:rPr>
          <w:rFonts w:ascii="Times New Roman" w:hAnsi="Times New Roman" w:eastAsia="Times New Roman"/>
          <w:color w:val="000000"/>
          <w:sz w:val="16"/>
        </w:rPr>
        <w:t>29. Ralph Patrick, Marina Naval-Sanchez, Nikita Deshpande, et al. The activity of early-life gene regulatory elements is hijacked in aging through pervasive AP-1-linked chromatin opening. Cell Metabolism. 2024;36(8):1858-1881.e23. doi:10.1016/j.cmet.2024.06.006.</w:t>
      </w:r>
    </w:p>
    <w:p>
      <w:pPr>
        <w:spacing w:after="60" w:line="240" w:lineRule="auto"/>
        <w:ind w:left="317" w:hanging="317"/>
      </w:pPr>
      <w:r>
        <w:rPr>
          <w:rFonts w:ascii="Times New Roman" w:hAnsi="Times New Roman" w:eastAsia="Times New Roman"/>
          <w:color w:val="000000"/>
          <w:sz w:val="16"/>
        </w:rPr>
        <w:t>30. Jhoanne L. Bautista, Nathan T. Cramer, Corey N. Miller, et al. Single-cell transcriptional profiling of human thymic stroma uncovers novel cellular heterogeneity in the thymic medulla. Nature Communications. 2021;12(1):1096. doi:10.1038/s41467-021-21346-6.</w:t>
      </w:r>
    </w:p>
    <w:p>
      <w:pPr>
        <w:spacing w:after="60" w:line="240" w:lineRule="auto"/>
        <w:ind w:left="317" w:hanging="317"/>
      </w:pPr>
      <w:r>
        <w:rPr>
          <w:rFonts w:ascii="Times New Roman" w:hAnsi="Times New Roman" w:eastAsia="Times New Roman"/>
          <w:color w:val="000000"/>
          <w:sz w:val="16"/>
        </w:rPr>
        <w:t>31. Roberta Ragazzini, Stefan Boeing, Luca Zanieri, et al. Defining the identity and the niches of epithelial stem cells with highly pleiotropic multilineage potency in the human thymus. Developmental Cell. 2023;58(22):2428-2446.e9. doi:10.1016/j.devcel.2023.08.017.</w:t>
      </w:r>
    </w:p>
    <w:p>
      <w:pPr>
        <w:spacing w:after="60" w:line="240" w:lineRule="auto"/>
        <w:ind w:left="317" w:hanging="317"/>
      </w:pPr>
      <w:r>
        <w:rPr>
          <w:rFonts w:ascii="Times New Roman" w:hAnsi="Times New Roman" w:eastAsia="Times New Roman"/>
          <w:color w:val="000000"/>
          <w:sz w:val="16"/>
        </w:rPr>
        <w:t>32. Nadav Yayon, Veronika R. Kedlian, Lena Boehme, et al. A spatial human thymus cell atlas mapped to a continuous tissue axis. Nature. 2024;635(8039):708-718. doi:10.1038/s41586-024-07944-6.</w:t>
      </w:r>
    </w:p>
    <w:p>
      <w:pPr>
        <w:spacing w:after="60" w:line="240" w:lineRule="auto"/>
        <w:ind w:left="317" w:hanging="317"/>
      </w:pPr>
      <w:r>
        <w:rPr>
          <w:rFonts w:ascii="Times New Roman" w:hAnsi="Times New Roman" w:eastAsia="Times New Roman"/>
          <w:color w:val="000000"/>
          <w:sz w:val="16"/>
        </w:rPr>
        <w:t>33. Eric M. Kernfeld, Ryan M.J. Genga, Kashfia Neherin, et al. A Single-Cell Transcriptomic Atlas of Thymus Organogenesis Resolves Cell Types and Developmental Maturation. Immunity. 2018;48(6):1258-1270.e6. doi:10.1016/j.immuni.2018.04.015.</w:t>
      </w:r>
    </w:p>
    <w:p>
      <w:pPr>
        <w:spacing w:after="60" w:line="240" w:lineRule="auto"/>
        <w:ind w:left="317" w:hanging="317"/>
      </w:pPr>
      <w:r>
        <w:rPr>
          <w:rFonts w:ascii="Times New Roman" w:hAnsi="Times New Roman" w:eastAsia="Times New Roman"/>
          <w:color w:val="000000"/>
          <w:sz w:val="16"/>
        </w:rPr>
        <w:t>34. Tal Givony, Dena Leshkowitz, Diana Del Castillo, et al. Thymic mimetic cells function beyond self-tolerance. Nature. 2023;622(7981):164-172. doi:10.1038/s41586-023-06512-8.</w:t>
      </w:r>
    </w:p>
    <w:p>
      <w:pPr>
        <w:spacing w:after="60" w:line="240" w:lineRule="auto"/>
        <w:ind w:left="317" w:hanging="317"/>
      </w:pPr>
      <w:r>
        <w:rPr>
          <w:rFonts w:ascii="Times New Roman" w:hAnsi="Times New Roman" w:eastAsia="Times New Roman"/>
          <w:color w:val="000000"/>
          <w:sz w:val="16"/>
        </w:rPr>
        <w:t>35. Takeshi Nitta, Masanori Tsutsumi, Sachiko Nitta, et al. Fibroblasts as a source of self-antigens for central immune tolerance. Nature Immunology. 2020;21(10):1172-1180. doi:10.1038/s41590-020-0756-8.</w:t>
      </w:r>
    </w:p>
    <w:p>
      <w:pPr>
        <w:spacing w:after="60" w:line="240" w:lineRule="auto"/>
        <w:ind w:left="317" w:hanging="317"/>
      </w:pPr>
      <w:r>
        <w:rPr>
          <w:rFonts w:ascii="Times New Roman" w:hAnsi="Times New Roman" w:eastAsia="Times New Roman"/>
          <w:color w:val="000000"/>
          <w:sz w:val="16"/>
        </w:rPr>
        <w:t>36. J. Aitchison. The Statistical Analysis of Compositional Data. Journal of the Royal Statistical Society Series B: Statistical Methodology. 1982;44(2):139-160. doi:10.1111/j.2517-6161.1982.tb01195.x.</w:t>
      </w:r>
    </w:p>
    <w:p>
      <w:pPr>
        <w:spacing w:after="60" w:line="240" w:lineRule="auto"/>
        <w:ind w:left="317" w:hanging="317"/>
      </w:pPr>
      <w:r>
        <w:rPr>
          <w:rFonts w:ascii="Times New Roman" w:hAnsi="Times New Roman" w:eastAsia="Times New Roman"/>
          <w:color w:val="000000"/>
          <w:sz w:val="16"/>
        </w:rPr>
        <w:t>37. M. Büttner, J. Ostner, C. L. Müller, et al. scCODA is a Bayesian model for compositional single-cell data analysis. Nature Communications. 2021;12(1):6876. doi:10.1038/s41467-021-27150-6.</w:t>
      </w:r>
    </w:p>
    <w:p>
      <w:pPr>
        <w:spacing w:after="60" w:line="240" w:lineRule="auto"/>
        <w:ind w:left="317" w:hanging="317"/>
      </w:pPr>
      <w:r>
        <w:rPr>
          <w:rFonts w:ascii="Times New Roman" w:hAnsi="Times New Roman" w:eastAsia="Times New Roman"/>
          <w:color w:val="000000"/>
          <w:sz w:val="16"/>
        </w:rPr>
        <w:t>38. Arthur Liberzon, Chet Birger, Helga Thorvaldsdóttir, et al. The Molecular Signatures Database Hallmark Gene Set Collection. Cell Systems. 2015;1(6):417-425. doi:10.1016/j.cels.2015.12.004.</w:t>
      </w:r>
    </w:p>
    <w:p>
      <w:pPr>
        <w:spacing w:after="60" w:line="240" w:lineRule="auto"/>
        <w:ind w:left="317" w:hanging="317"/>
      </w:pPr>
      <w:r>
        <w:rPr>
          <w:rFonts w:ascii="Times New Roman" w:hAnsi="Times New Roman" w:eastAsia="Times New Roman"/>
          <w:color w:val="000000"/>
          <w:sz w:val="16"/>
        </w:rPr>
        <w:t>39. Purvesh Khatri, Marina Sirota, Atul J. Butte. Ten Years of Pathway Analysis: Current Approaches and Outstanding Challenges. PLoS Computational Biology. 2012;8(2):e1002375. doi:10.1371/journal.pcbi.1002375.</w:t>
      </w:r>
    </w:p>
    <w:p>
      <w:pPr>
        <w:spacing w:after="60" w:line="240" w:lineRule="auto"/>
        <w:ind w:left="317" w:hanging="317"/>
      </w:pPr>
      <w:r>
        <w:rPr>
          <w:rFonts w:ascii="Times New Roman" w:hAnsi="Times New Roman" w:eastAsia="Times New Roman"/>
          <w:color w:val="000000"/>
          <w:sz w:val="16"/>
        </w:rPr>
        <w:t>40. Sibiao Yue, Xiaobin Zheng, Yixian Zheng. Cell‐type‐specific role of lamin‐B1 in thymus development and its inflammation‐driven reduction in thymus aging. Aging Cell. 2019;18(4):e12952. doi:10.1111/acel.12952.</w:t>
      </w:r>
    </w:p>
    <w:p>
      <w:pPr>
        <w:spacing w:after="60" w:line="240" w:lineRule="auto"/>
        <w:ind w:left="317" w:hanging="317"/>
      </w:pPr>
      <w:r>
        <w:rPr>
          <w:rFonts w:ascii="Times New Roman" w:hAnsi="Times New Roman" w:eastAsia="Times New Roman"/>
          <w:color w:val="000000"/>
          <w:sz w:val="16"/>
        </w:rPr>
        <w:t>41. Liguang Sun, Jianfei Guo, Robert Brown, et al. Declining expression of a single epithelial cell‐autonomous gene accelerates age‐related thymic involution. Aging Cell. 2010;9(3):347-357. doi:10.1111/j.1474-9726.2010.00559.x.</w:t>
      </w:r>
    </w:p>
    <w:p>
      <w:pPr>
        <w:spacing w:after="60" w:line="240" w:lineRule="auto"/>
        <w:ind w:left="317" w:hanging="317"/>
      </w:pPr>
      <w:r>
        <w:rPr>
          <w:rFonts w:ascii="Times New Roman" w:hAnsi="Times New Roman" w:eastAsia="Times New Roman"/>
          <w:color w:val="000000"/>
          <w:sz w:val="16"/>
        </w:rPr>
        <w:t>42. Nicholas Bredenkamp, Craig S. Nowell, C. Clare Blackburn. Regeneration of the aged thymus by a single transcription factor. Development. 2014;141(8):1627-1637. doi:10.1242/dev.103614.</w:t>
      </w:r>
    </w:p>
    <w:p>
      <w:pPr>
        <w:spacing w:after="60" w:line="240" w:lineRule="auto"/>
        <w:ind w:left="317" w:hanging="317"/>
      </w:pPr>
      <w:r>
        <w:rPr>
          <w:rFonts w:ascii="Times New Roman" w:hAnsi="Times New Roman" w:eastAsia="Times New Roman"/>
          <w:color w:val="000000"/>
          <w:sz w:val="16"/>
        </w:rPr>
        <w:t>43. Brandon D Coder, Hongjun Wang, Linhui Ruan, et al. Thymic Involution Perturbs Negative Selection Leading to Autoreactive T Cells That Induce Chronic Inflammation. The Journal of Immunology. 2015;194(12):5825-5837. doi:10.4049/jimmunol.1500082.</w:t>
      </w:r>
    </w:p>
    <w:p>
      <w:pPr>
        <w:spacing w:after="60" w:line="240" w:lineRule="auto"/>
        <w:ind w:left="317" w:hanging="317"/>
      </w:pPr>
      <w:r>
        <w:rPr>
          <w:rFonts w:ascii="Times New Roman" w:hAnsi="Times New Roman" w:eastAsia="Times New Roman"/>
          <w:color w:val="000000"/>
          <w:sz w:val="16"/>
        </w:rPr>
        <w:t>44. Jessica N. Lancaster, Damaris E. Keatinge‐Clay, Jayashree Srinivasan, et al. Central tolerance is impaired in the middle‐aged thymic environment. Aging Cell. 2022;21(6):e13624. doi:10.1111/acel.13624.</w:t>
      </w:r>
    </w:p>
    <w:p>
      <w:pPr>
        <w:spacing w:after="60" w:line="240" w:lineRule="auto"/>
        <w:ind w:left="317" w:hanging="317"/>
      </w:pPr>
      <w:r>
        <w:rPr>
          <w:rFonts w:ascii="Times New Roman" w:hAnsi="Times New Roman" w:eastAsia="Times New Roman"/>
          <w:color w:val="000000"/>
          <w:sz w:val="16"/>
        </w:rPr>
        <w:t>45. Simon Bernatz, Vasco Prudente, Suraj Pai, et al. Thymic health and immunotherapy outcomes in patients with cancer. Nature. 2026;652(8111):995-1003. doi:10.1038/s41586-026-10243-x.</w:t>
      </w:r>
    </w:p>
    <w:p>
      <w:pPr>
        <w:spacing w:after="60" w:line="240" w:lineRule="auto"/>
        <w:ind w:left="317" w:hanging="317"/>
      </w:pPr>
      <w:r>
        <w:rPr>
          <w:rFonts w:ascii="Times New Roman" w:hAnsi="Times New Roman" w:eastAsia="Times New Roman"/>
          <w:color w:val="000000"/>
          <w:sz w:val="16"/>
        </w:rPr>
        <w:t>46. Samuel L. Wolock, Romain Lopez, Allon M. Klein. Scrublet: Computational Identification of Cell Doublets in Single-Cell Transcriptomic Data. Cell Systems. 2019;8(4):281-291.e9. doi:10.1016/j.cels.2018.11.005.</w:t>
      </w:r>
    </w:p>
    <w:p>
      <w:pPr>
        <w:spacing w:after="60" w:line="240" w:lineRule="auto"/>
        <w:ind w:left="317" w:hanging="317"/>
      </w:pPr>
      <w:r>
        <w:rPr>
          <w:rFonts w:ascii="Times New Roman" w:hAnsi="Times New Roman" w:eastAsia="Times New Roman"/>
          <w:color w:val="000000"/>
          <w:sz w:val="16"/>
        </w:rPr>
        <w:t>47. Mark D. Robinson, Davis J. McCarthy, Gordon K. Smyth. edgeR: a Bioconductor package for differential expression analysis of digital gene expression data. Bioinformatics. 2010;26(1):139-140. doi:10.1093/bioinformatics/btp616.</w:t>
      </w:r>
    </w:p>
    <w:p>
      <w:pPr>
        <w:spacing w:after="60" w:line="240" w:lineRule="auto"/>
        <w:ind w:left="317" w:hanging="317"/>
      </w:pPr>
      <w:r>
        <w:rPr>
          <w:rFonts w:ascii="Times New Roman" w:hAnsi="Times New Roman" w:eastAsia="Times New Roman"/>
          <w:color w:val="000000"/>
          <w:sz w:val="16"/>
        </w:rPr>
        <w:t>48. Charity W Law, Yunshun Chen, Wei Shi, et al. voom: precision weights unlock linear model analysis tools for RNA-seq read counts. Genome Biology. 2014;15(2):R29. doi:10.1186/gb-2014-15-2-r29.</w:t>
      </w:r>
    </w:p>
    <w:p>
      <w:pPr>
        <w:spacing w:after="60" w:line="240" w:lineRule="auto"/>
        <w:ind w:left="317" w:hanging="317"/>
      </w:pPr>
      <w:r>
        <w:rPr>
          <w:rFonts w:ascii="Times New Roman" w:hAnsi="Times New Roman" w:eastAsia="Times New Roman"/>
          <w:color w:val="000000"/>
          <w:sz w:val="16"/>
        </w:rPr>
        <w:t>49. Matthew E. Ritchie, Belinda Phipson, Di Wu, et al. limma powers differential expression analyses for RNA-sequencing and microarray studies. Nucleic Acids Research. 2015;43(7):e47-e47. doi:10.1093/nar/gkv007.</w:t>
      </w:r>
    </w:p>
    <w:p>
      <w:pPr>
        <w:spacing w:after="60" w:line="240" w:lineRule="auto"/>
        <w:ind w:left="317" w:hanging="317"/>
      </w:pPr>
      <w:r>
        <w:rPr>
          <w:rFonts w:ascii="Times New Roman" w:hAnsi="Times New Roman" w:eastAsia="Times New Roman"/>
          <w:color w:val="000000"/>
          <w:sz w:val="16"/>
        </w:rPr>
        <w:t>50. Yoav Benjamini, Yosef Hochberg. Controlling the False Discovery Rate: A Practical and Powerful Approach to Multiple Testing. Journal of the Royal Statistical Society Series B: Statistical Methodology. 1995;57(1):289-300. doi:10.1111/j.2517-6161.1995.tb02031.x.</w:t>
      </w:r>
    </w:p>
    <w:p>
      <w:pPr>
        <w:spacing w:after="60" w:line="240" w:lineRule="auto"/>
        <w:ind w:left="317" w:hanging="317"/>
      </w:pPr>
      <w:r>
        <w:rPr>
          <w:rFonts w:ascii="Times New Roman" w:hAnsi="Times New Roman" w:eastAsia="Times New Roman"/>
          <w:color w:val="000000"/>
          <w:sz w:val="16"/>
        </w:rPr>
        <w:t>51. J. A. Martín-Fernández, C. Barceló-Vidal, V. Pawlowsky-Glahn. Dealing with Zeros and Missing Values in Compositional Data Sets Using Nonparametric Imputation. Mathematical Geology. 2003;35(3):253-278. doi:10.1023/a:1023866030544.</w:t>
      </w:r>
    </w:p>
    <w:p>
      <w:pPr>
        <w:spacing w:after="60" w:line="240" w:lineRule="auto"/>
        <w:ind w:left="317" w:hanging="317"/>
      </w:pPr>
      <w:r>
        <w:rPr>
          <w:rFonts w:ascii="Times New Roman" w:hAnsi="Times New Roman" w:eastAsia="Times New Roman"/>
          <w:color w:val="000000"/>
          <w:sz w:val="16"/>
        </w:rPr>
        <w:t>52. James G MacKinnon, Halbert White. Some heteroskedasticity-consistent covariance matrix estimators with improved finite sample properties. Journal of Econometrics. 1985;29(3):305-325. doi:10.1016/0304-4076(85)90158-7.</w:t>
      </w:r>
    </w:p>
    <w:p>
      <w:pPr>
        <w:spacing w:after="60" w:line="240" w:lineRule="auto"/>
        <w:ind w:left="317" w:hanging="317"/>
      </w:pPr>
      <w:r>
        <w:rPr>
          <w:rFonts w:ascii="Times New Roman" w:hAnsi="Times New Roman" w:eastAsia="Times New Roman"/>
          <w:color w:val="000000"/>
          <w:sz w:val="16"/>
        </w:rPr>
        <w:t>53. R. H. Hijazi, R. W. Jernigan. Modeling compositional data using Dirichlet regression models. Journal of Applied Probability and Statistics. 2009;4:77–91. https://www.aau.ac.ae/en/research/modeling-compositional-data-using-dirichlet-regression.</w:t>
      </w:r>
    </w:p>
    <w:p>
      <w:pPr>
        <w:spacing w:after="60" w:line="240" w:lineRule="auto"/>
        <w:ind w:left="317" w:hanging="317"/>
      </w:pPr>
      <w:r>
        <w:rPr>
          <w:rFonts w:ascii="Times New Roman" w:hAnsi="Times New Roman" w:eastAsia="Times New Roman"/>
          <w:color w:val="000000"/>
          <w:sz w:val="16"/>
        </w:rPr>
        <w:t>54. Hui Zou, Trevor Hastie. Regularization and Variable Selection Via the Elastic Net. Journal of the Royal Statistical Society Series B: Statistical Methodology. 2005;67(2):301-320. doi:10.1111/j.1467-9868.2005.00503.x.</w:t>
      </w:r>
    </w:p>
    <w:p>
      <w:pPr>
        <w:spacing w:after="60" w:line="240" w:lineRule="auto"/>
        <w:ind w:left="317" w:hanging="317"/>
      </w:pPr>
      <w:r>
        <w:rPr>
          <w:rFonts w:ascii="Times New Roman" w:hAnsi="Times New Roman" w:eastAsia="Times New Roman"/>
          <w:color w:val="000000"/>
          <w:sz w:val="16"/>
        </w:rPr>
        <w:t>55. Alex J. Smola, Bernhard Schölkopf. A tutorial on support vector regression. Statistics and Computing. 2004;14(3):199-222. doi:10.1023/b:stco.0000035301.49549.88.</w:t>
      </w:r>
    </w:p>
    <w:p>
      <w:pPr>
        <w:spacing w:after="60" w:line="240" w:lineRule="auto"/>
        <w:ind w:left="317" w:hanging="317"/>
      </w:pPr>
      <w:r>
        <w:rPr>
          <w:rFonts w:ascii="Times New Roman" w:hAnsi="Times New Roman" w:eastAsia="Times New Roman"/>
          <w:color w:val="000000"/>
          <w:sz w:val="16"/>
        </w:rPr>
        <w:t>56. Leo Breiman. Random Forests. Machine Learning. 2001;45(1):5-32. doi:10.1023/a:1010933404324.</w:t>
      </w:r>
    </w:p>
    <w:p>
      <w:pPr>
        <w:spacing w:after="60" w:line="240" w:lineRule="auto"/>
        <w:ind w:left="317" w:hanging="317"/>
      </w:pPr>
      <w:r>
        <w:rPr>
          <w:rFonts w:ascii="Times New Roman" w:hAnsi="Times New Roman" w:eastAsia="Times New Roman"/>
          <w:color w:val="000000"/>
          <w:sz w:val="16"/>
        </w:rPr>
        <w:t>57. Tianqi Chen, Carlos Guestrin. XGBoost: A Scalable Tree Boosting System. Proceedings of the 22nd ACM SIGKDD International Conference on Knowledge Discovery and Data Mining. 2016:785-794. doi:10.1145/2939672.2939785.</w:t>
      </w:r>
    </w:p>
    <w:p>
      <w:pPr>
        <w:spacing w:after="60" w:line="240" w:lineRule="auto"/>
        <w:ind w:left="317" w:hanging="317"/>
      </w:pPr>
      <w:r>
        <w:rPr>
          <w:rFonts w:ascii="Times New Roman" w:hAnsi="Times New Roman" w:eastAsia="Times New Roman"/>
          <w:color w:val="000000"/>
          <w:sz w:val="16"/>
        </w:rPr>
        <w:t>58. B. Efron. Bootstrap Methods: Another Look at the Jackknife. The Annals of Statistics. 1979;7(1):1-26. doi:10.1214/aos/1176344552.</w:t>
      </w:r>
    </w:p>
    <w:p>
      <w:pPr>
        <w:spacing w:after="60" w:line="240" w:lineRule="auto"/>
        <w:ind w:left="317" w:hanging="317"/>
      </w:pPr>
      <w:r>
        <w:rPr>
          <w:rFonts w:ascii="Times New Roman" w:hAnsi="Times New Roman" w:eastAsia="Times New Roman"/>
          <w:color w:val="000000"/>
          <w:sz w:val="16"/>
        </w:rPr>
        <w:t>59. Ashish Vaswani, Noam Shazeer, Niki Parmar, et al. Attention Is All You Need. Advances in Neural Information Processing Systems. 2017;30. https://papers.neurips.cc/paper/7181-attention-is-all-you-need.</w:t>
      </w:r>
    </w:p>
    <w:p>
      <w:pPr>
        <w:spacing w:after="60" w:line="240" w:lineRule="auto"/>
        <w:ind w:left="317" w:hanging="317"/>
      </w:pPr>
      <w:r>
        <w:rPr>
          <w:rFonts w:ascii="Times New Roman" w:hAnsi="Times New Roman" w:eastAsia="Times New Roman"/>
          <w:color w:val="000000"/>
          <w:sz w:val="16"/>
        </w:rPr>
        <w:t>60. Mukund Sundararajan, Ankur Taly, Qiqi Yan. Axiomatic Attribution for Deep Networks. Proceedings of the 34th International Conference on Machine Learning (PMLR 70). 2017;70:3319-3328. https://proceedings.mlr.press/v70/sundararajan17a.html.</w:t>
      </w:r>
    </w:p>
    <w:p>
      <w:pPr>
        <w:spacing w:after="60" w:line="240" w:lineRule="auto"/>
        <w:ind w:left="317" w:hanging="317"/>
      </w:pPr>
      <w:r>
        <w:rPr>
          <w:rFonts w:ascii="Times New Roman" w:hAnsi="Times New Roman" w:eastAsia="Times New Roman"/>
          <w:color w:val="000000"/>
          <w:sz w:val="16"/>
        </w:rPr>
        <w:t>61. Jiwen Xin, Adam Mark, Cyrus Afrasiabi, et al. High-performance web services for querying gene and variant annotation. Genome Biology. 2016;17(1):91. doi:10.1186/s13059-016-0953-9.</w:t>
      </w:r>
    </w:p>
    <w:p>
      <w:pPr>
        <w:spacing w:after="60" w:line="240" w:lineRule="auto"/>
        <w:ind w:left="317" w:hanging="317"/>
      </w:pPr>
      <w:r>
        <w:rPr>
          <w:rFonts w:ascii="Times New Roman" w:hAnsi="Times New Roman" w:eastAsia="Times New Roman"/>
          <w:color w:val="000000"/>
          <w:sz w:val="16"/>
        </w:rPr>
        <w:t>62. R. J. Kinsella, A. Kahari, S. Haider, et al. Ensembl BioMarts: a hub for data retrieval across taxonomic space. Database. 2011;2011(0):bar030-bar030. doi:10.1093/database/bar030.</w:t>
      </w:r>
    </w:p>
    <w:p>
      <w:pPr>
        <w:spacing w:after="60" w:line="240" w:lineRule="auto"/>
        <w:ind w:left="317" w:hanging="317"/>
      </w:pPr>
      <w:r>
        <w:rPr>
          <w:rFonts w:ascii="Times New Roman" w:hAnsi="Times New Roman" w:eastAsia="Times New Roman"/>
          <w:color w:val="000000"/>
          <w:sz w:val="16"/>
        </w:rPr>
        <w:t>63. Jason D Buenrostro, Paul G Giresi, Lisa C Zaba, et al. Transposition of native chromatin for fast and sensitive epigenomic profiling of open chromatin, DNA-binding proteins and nucleosome position. Nature Methods. 2013;10(12):1213-1218. doi:10.1038/nmeth.2688.</w:t>
      </w:r>
    </w:p>
    <w:p>
      <w:pPr>
        <w:spacing w:after="60" w:line="240" w:lineRule="auto"/>
        <w:ind w:left="317" w:hanging="317"/>
      </w:pPr>
      <w:r>
        <w:rPr>
          <w:rFonts w:ascii="Times New Roman" w:hAnsi="Times New Roman" w:eastAsia="Times New Roman"/>
          <w:color w:val="000000"/>
          <w:sz w:val="16"/>
        </w:rPr>
        <w:t>64. M Ryan Corces, Alexandro E Trevino, Emily G Hamilton, et al. An improved ATAC-seq protocol reduces background and enables interrogation of frozen tissues. Nature Methods. 2017;14(10):959-962. doi:10.1038/nmeth.4396.</w:t>
      </w:r>
    </w:p>
    <w:p>
      <w:pPr>
        <w:spacing w:after="60" w:line="240" w:lineRule="auto"/>
        <w:ind w:left="317" w:hanging="317"/>
      </w:pPr>
      <w:r>
        <w:rPr>
          <w:rFonts w:ascii="Times New Roman" w:hAnsi="Times New Roman" w:eastAsia="Times New Roman"/>
          <w:color w:val="000000"/>
          <w:sz w:val="16"/>
        </w:rPr>
        <w:t>65. Charles P. Fulco, Joseph Nasser, Thouis R. Jones, et al. Activity-by-contact model of enhancer–promoter regulation from thousands of CRISPR perturbations. Nature Genetics. 2019;51(12):1664-1669. doi:10.1038/s41588-019-0538-0.</w:t>
      </w:r>
    </w:p>
    <w:p>
      <w:pPr>
        <w:spacing w:after="60" w:line="240" w:lineRule="auto"/>
        <w:ind w:left="317" w:hanging="317"/>
      </w:pPr>
      <w:r>
        <w:rPr>
          <w:rFonts w:ascii="Times New Roman" w:hAnsi="Times New Roman" w:eastAsia="Times New Roman"/>
          <w:color w:val="000000"/>
          <w:sz w:val="16"/>
        </w:rPr>
        <w:t>66. Xiaojing Yang, Xichan Chen, Wei Wang, et al. Transcriptional profile of human thymus reveals IGFBP5 is correlated with age-related thymic involution. Frontiers in Immunology. 2024;15:1322214. doi:10.3389/fimmu.2024.1322214.</w:t>
      </w:r>
    </w:p>
    <w:p>
      <w:pPr>
        <w:spacing w:after="60" w:line="240" w:lineRule="auto"/>
        <w:ind w:left="317" w:hanging="317"/>
      </w:pPr>
      <w:r>
        <w:rPr>
          <w:rFonts w:ascii="Times New Roman" w:hAnsi="Times New Roman" w:eastAsia="Times New Roman"/>
          <w:color w:val="000000"/>
          <w:sz w:val="16"/>
        </w:rPr>
        <w:t>67. Martin Direder, Matthias Wielscher, Melanie Salek, et al. A single-cell atlas revealing cellular heterogeneity across healthy and diseased human thymus. Nature Communications. 2026. doi:10.1038/s41467-026-72760-7.</w:t>
      </w:r>
    </w:p>
    <w:p>
      <w:pPr>
        <w:spacing w:after="60" w:line="240" w:lineRule="auto"/>
        <w:ind w:left="317" w:hanging="317"/>
      </w:pPr>
      <w:r>
        <w:rPr>
          <w:rFonts w:ascii="Times New Roman" w:hAnsi="Times New Roman" w:eastAsia="Times New Roman"/>
          <w:color w:val="000000"/>
          <w:sz w:val="16"/>
        </w:rPr>
        <w:t>68. Yanchuan Li, Huamei Li, Cheng Peng, et al. Unraveling the spatial organization and development of human thymocytes through integration of spatial transcriptomics and single-cell multi-omics profiling. Nature Communications. 2024;15:7784. doi:10.1038/s41467-024-51767-y.</w:t>
      </w:r>
    </w:p>
    <w:p>
      <w:pPr>
        <w:spacing w:after="60" w:line="240" w:lineRule="auto"/>
        <w:ind w:left="317" w:hanging="317"/>
      </w:pPr>
      <w:r>
        <w:rPr>
          <w:rFonts w:ascii="Times New Roman" w:hAnsi="Times New Roman" w:eastAsia="Times New Roman"/>
          <w:color w:val="000000"/>
          <w:sz w:val="16"/>
        </w:rPr>
        <w:t>69. Timothy Kassis, Vinayak Agarwal, Yuhuan He, Darshil Patel, Aubrey M. Brueckner. Scientific Agent Skills: A Library of Procedural Knowledge for Research Agents. arXiv. 2026. doi:10.48550/arXiv.2609.00065.</w:t>
      </w:r>
    </w:p>
    <w:p>
      <w:pPr>
        <w:pStyle w:val="Heading1"/>
        <w:keepNext/>
        <w:spacing w:before="240" w:after="100"/>
        <w:ind w:firstLine="0"/>
      </w:pPr>
      <w:r>
        <w:rPr>
          <w:rFonts w:ascii="Times New Roman" w:hAnsi="Times New Roman" w:eastAsia="Times New Roman"/>
          <w:b/>
          <w:color w:val="000000"/>
          <w:sz w:val="26"/>
        </w:rPr>
        <w:t>Supplementary figure legends</w:t>
      </w:r>
    </w:p>
    <w:p>
      <w:pPr>
        <w:spacing w:after="120"/>
        <w:ind w:firstLine="0"/>
      </w:pPr>
      <w:r>
        <w:rPr>
          <w:rFonts w:ascii="Times New Roman" w:hAnsi="Times New Roman" w:eastAsia="Times New Roman"/>
          <w:b/>
          <w:color w:val="000000"/>
          <w:sz w:val="18"/>
        </w:rPr>
        <w:t>Supplementary Figure S1. Cohort and annotation diagnostics.</w:t>
      </w:r>
      <w:r>
        <w:rPr>
          <w:rFonts w:ascii="Times New Roman" w:hAnsi="Times New Roman" w:eastAsia="Times New Roman"/>
          <w:color w:val="000000"/>
          <w:sz w:val="18"/>
        </w:rPr>
        <w:t xml:space="preserve"> Donor cell counts, the original broad-label UMAP, donor coverage of Level 1 compartments and completeness of the source annotation hierarchy.</w:t>
      </w:r>
    </w:p>
    <w:p>
      <w:pPr>
        <w:spacing w:after="120"/>
        <w:ind w:firstLine="0"/>
      </w:pPr>
      <w:r>
        <w:rPr>
          <w:rFonts w:ascii="Times New Roman" w:hAnsi="Times New Roman" w:eastAsia="Times New Roman"/>
          <w:b/>
          <w:color w:val="000000"/>
          <w:sz w:val="18"/>
        </w:rPr>
        <w:t>Supplementary Figure S2. Fine-annotation coverage audit.</w:t>
      </w:r>
      <w:r>
        <w:rPr>
          <w:rFonts w:ascii="Times New Roman" w:hAnsi="Times New Roman" w:eastAsia="Times New Roman"/>
          <w:color w:val="000000"/>
          <w:sz w:val="18"/>
        </w:rPr>
        <w:t xml:space="preserve"> Cell counts and donor coverage for the 55 most abundant source Level 3 labels. Colors distinguish coverage-eligible, exploratory-only and descriptive-only states.</w:t>
      </w:r>
    </w:p>
    <w:p>
      <w:pPr>
        <w:spacing w:after="120"/>
        <w:ind w:firstLine="0"/>
      </w:pPr>
      <w:r>
        <w:rPr>
          <w:rFonts w:ascii="Times New Roman" w:hAnsi="Times New Roman" w:eastAsia="Times New Roman"/>
          <w:b/>
          <w:color w:val="000000"/>
          <w:sz w:val="18"/>
        </w:rPr>
        <w:t>Supplementary Figure S3. Internal age-prediction diagnostics.</w:t>
      </w:r>
      <w:r>
        <w:rPr>
          <w:rFonts w:ascii="Times New Roman" w:hAnsi="Times New Roman" w:eastAsia="Times New Roman"/>
          <w:color w:val="000000"/>
          <w:sz w:val="18"/>
        </w:rPr>
        <w:t xml:space="preserve"> Chronological age versus Elastic Net out-of-fold prediction and paired absolute-error distributions for Elastic Net and strict fold-internal HumanThymusFormer. Prediction is a secondary diagnostic.</w:t>
      </w:r>
    </w:p>
    <w:p>
      <w:pPr>
        <w:spacing w:after="120"/>
        <w:ind w:firstLine="0"/>
      </w:pPr>
      <w:r>
        <w:rPr>
          <w:rFonts w:ascii="Times New Roman" w:hAnsi="Times New Roman" w:eastAsia="Times New Roman"/>
          <w:b/>
          <w:color w:val="000000"/>
          <w:sz w:val="18"/>
        </w:rPr>
        <w:t>Supplementary Figure S4. External evidence and interpretation boundary.</w:t>
      </w:r>
      <w:r>
        <w:rPr>
          <w:rFonts w:ascii="Times New Roman" w:hAnsi="Times New Roman" w:eastAsia="Times New Roman"/>
          <w:color w:val="000000"/>
          <w:sz w:val="18"/>
        </w:rPr>
        <w:t xml:space="preserve"> Four-donor frozen HRA007984 transfer and pooled developmental localization of selected genes. The external transfer demonstrates technical feasibility, not reliable clinical age prediction.</w:t>
      </w:r>
    </w:p>
    <w:p>
      <w:r>
        <w:br w:type="page"/>
      </w:r>
    </w:p>
    <w:p>
      <w:pPr>
        <w:keepNext/>
        <w:jc w:val="center"/>
      </w:pPr>
      <w:r>
        <w:drawing>
          <wp:inline xmlns:a="http://schemas.openxmlformats.org/drawingml/2006/main" xmlns:pic="http://schemas.openxmlformats.org/drawingml/2006/picture">
            <wp:extent cx="6217920" cy="6148501"/>
            <wp:docPr id="1" name="Picture 1" descr="Six-panel overview of the 18-donor study, broad and lineage-resolved UMAPs, annotation hierarchy and Level 2 donor coverage." title="Six-panel overview of the 18-donor study, broad and lineage-resolved UMAPs, anno"/>
            <wp:cNvGraphicFramePr>
              <a:graphicFrameLocks noChangeAspect="1"/>
            </wp:cNvGraphicFramePr>
            <a:graphic>
              <a:graphicData uri="http://schemas.openxmlformats.org/drawingml/2006/picture">
                <pic:pic>
                  <pic:nvPicPr>
                    <pic:cNvPr id="0" name="Figure1_hierarchical_atlas.png"/>
                    <pic:cNvPicPr/>
                  </pic:nvPicPr>
                  <pic:blipFill>
                    <a:blip r:embed="rId11"/>
                    <a:stretch>
                      <a:fillRect/>
                    </a:stretch>
                  </pic:blipFill>
                  <pic:spPr>
                    <a:xfrm>
                      <a:off x="0" y="0"/>
                      <a:ext cx="6217920" cy="6148501"/>
                    </a:xfrm>
                    <a:prstGeom prst="rect"/>
                  </pic:spPr>
                </pic:pic>
              </a:graphicData>
            </a:graphic>
          </wp:inline>
        </w:drawing>
      </w:r>
    </w:p>
    <w:p>
      <w:pPr>
        <w:pStyle w:val="Caption"/>
        <w:keepNext w:val="0"/>
        <w:spacing w:after="160"/>
        <w:ind w:firstLine="0"/>
      </w:pPr>
      <w:r>
        <w:rPr>
          <w:rFonts w:ascii="Times New Roman" w:hAnsi="Times New Roman" w:eastAsia="Times New Roman"/>
          <w:color w:val="000000"/>
          <w:sz w:val="17"/>
        </w:rPr>
        <w:t>Figure 1. Donor-resolved hierarchical atlas of the aging human thymus. (A) Study design. (B) Donor age and sex. (C, D) UMAPs colored by Level 1 broad compartments and Level 2 lineage-resolved classes. (E) Annotation hierarchy. (F) Donor coverage of Level 2 classes. Level 1 is used for primary inference; Levels 2 and 3 form an audited biological atlas layer.</w:t>
      </w:r>
    </w:p>
    <w:p>
      <w:r>
        <w:br w:type="page"/>
      </w:r>
    </w:p>
    <w:p>
      <w:pPr>
        <w:keepNext/>
        <w:jc w:val="center"/>
      </w:pPr>
      <w:r>
        <w:drawing>
          <wp:inline xmlns:a="http://schemas.openxmlformats.org/drawingml/2006/main" xmlns:pic="http://schemas.openxmlformats.org/drawingml/2006/picture">
            <wp:extent cx="6217920" cy="6751507"/>
            <wp:docPr id="2" name="Picture 2" descr="Five-panel thymocyte figure showing fine-state UMAP, developmental ordering, donor trajectories, age coefficients and Level 3 coverage." title="Five-panel thymocyte figure showing fine-state UMAP, developmental ordering, don"/>
            <wp:cNvGraphicFramePr>
              <a:graphicFrameLocks noChangeAspect="1"/>
            </wp:cNvGraphicFramePr>
            <a:graphic>
              <a:graphicData uri="http://schemas.openxmlformats.org/drawingml/2006/picture">
                <pic:pic>
                  <pic:nvPicPr>
                    <pic:cNvPr id="0" name="Figure2_thymocyte_development.png"/>
                    <pic:cNvPicPr/>
                  </pic:nvPicPr>
                  <pic:blipFill>
                    <a:blip r:embed="rId12"/>
                    <a:stretch>
                      <a:fillRect/>
                    </a:stretch>
                  </pic:blipFill>
                  <pic:spPr>
                    <a:xfrm>
                      <a:off x="0" y="0"/>
                      <a:ext cx="6217920" cy="6751507"/>
                    </a:xfrm>
                    <a:prstGeom prst="rect"/>
                  </pic:spPr>
                </pic:pic>
              </a:graphicData>
            </a:graphic>
          </wp:inline>
        </w:drawing>
      </w:r>
    </w:p>
    <w:p>
      <w:pPr>
        <w:pStyle w:val="Caption"/>
        <w:keepNext w:val="0"/>
        <w:spacing w:after="160"/>
        <w:ind w:firstLine="0"/>
      </w:pPr>
      <w:r>
        <w:rPr>
          <w:rFonts w:ascii="Times New Roman" w:hAnsi="Times New Roman" w:eastAsia="Times New Roman"/>
          <w:color w:val="000000"/>
          <w:sz w:val="17"/>
        </w:rPr>
        <w:t>Figure 2. Thymocyte development as an age-stratified atlas layer. (A) UMAP of Level 2 T-lineage states. (B) Conservative developmental ordering. (C) Exploratory donor trajectories for selected states within the recovered T-lineage pool. (D) Sex-adjusted exploratory age coefficients with HC3 confidence intervals. (E) Source Level 3 donor-coverage audit. Fine-state fraction models are exploratory and do not estimate intact-thymus abundance.</w:t>
      </w:r>
    </w:p>
    <w:p>
      <w:r>
        <w:br w:type="page"/>
      </w:r>
    </w:p>
    <w:p>
      <w:pPr>
        <w:keepNext/>
        <w:jc w:val="center"/>
      </w:pPr>
      <w:r>
        <w:drawing>
          <wp:inline xmlns:a="http://schemas.openxmlformats.org/drawingml/2006/main" xmlns:pic="http://schemas.openxmlformats.org/drawingml/2006/picture">
            <wp:extent cx="6217920" cy="7626331"/>
            <wp:docPr id="3" name="Picture 3" descr="Five-panel niche figure showing epithelial and stromal UMAP, coverage, donor trajectories, gene programs and pathway overlap." title="Five-panel niche figure showing epithelial and stromal UMAP, coverage, donor tra"/>
            <wp:cNvGraphicFramePr>
              <a:graphicFrameLocks noChangeAspect="1"/>
            </wp:cNvGraphicFramePr>
            <a:graphic>
              <a:graphicData uri="http://schemas.openxmlformats.org/drawingml/2006/picture">
                <pic:pic>
                  <pic:nvPicPr>
                    <pic:cNvPr id="0" name="Figure3_epithelial_stromal_niche.png"/>
                    <pic:cNvPicPr/>
                  </pic:nvPicPr>
                  <pic:blipFill>
                    <a:blip r:embed="rId13"/>
                    <a:stretch>
                      <a:fillRect/>
                    </a:stretch>
                  </pic:blipFill>
                  <pic:spPr>
                    <a:xfrm>
                      <a:off x="0" y="0"/>
                      <a:ext cx="6217920" cy="7626331"/>
                    </a:xfrm>
                    <a:prstGeom prst="rect"/>
                  </pic:spPr>
                </pic:pic>
              </a:graphicData>
            </a:graphic>
          </wp:inline>
        </w:drawing>
      </w:r>
    </w:p>
    <w:p>
      <w:pPr>
        <w:pStyle w:val="Caption"/>
        <w:keepNext w:val="0"/>
        <w:spacing w:after="160"/>
        <w:ind w:firstLine="0"/>
      </w:pPr>
      <w:r>
        <w:rPr>
          <w:rFonts w:ascii="Times New Roman" w:hAnsi="Times New Roman" w:eastAsia="Times New Roman"/>
          <w:color w:val="000000"/>
          <w:sz w:val="17"/>
        </w:rPr>
        <w:t>Figure 3. Epithelial and stromal niche remodeling. (A) UMAP of TEC, stromal, vascular and myeloid compartments. (B) Captured-cell and donor coverage. (C) Exploratory donor trajectories within recovered epithelial or stromal pools. (D) Context-specific age-associated gene programs in TEC, fibroblast and dendritic-cell compartments. (E) Overlap with existing pathway-evidence tables. Fraction estimates are conditional on recovered compartment cells.</w:t>
      </w:r>
    </w:p>
    <w:p>
      <w:r>
        <w:br w:type="page"/>
      </w:r>
    </w:p>
    <w:p>
      <w:pPr>
        <w:keepNext/>
        <w:jc w:val="center"/>
      </w:pPr>
      <w:r>
        <w:drawing>
          <wp:inline xmlns:a="http://schemas.openxmlformats.org/drawingml/2006/main" xmlns:pic="http://schemas.openxmlformats.org/drawingml/2006/picture">
            <wp:extent cx="6217920" cy="7043442"/>
            <wp:docPr id="4" name="Picture 4" descr="Five-panel molecular-program figure showing pseudobulk effects, context counts, effect matrix, evidence-layer sizes and candidate ranking." title="Five-panel molecular-program figure showing pseudobulk effects, context counts, "/>
            <wp:cNvGraphicFramePr>
              <a:graphicFrameLocks noChangeAspect="1"/>
            </wp:cNvGraphicFramePr>
            <a:graphic>
              <a:graphicData uri="http://schemas.openxmlformats.org/drawingml/2006/picture">
                <pic:pic>
                  <pic:nvPicPr>
                    <pic:cNvPr id="0" name="Figure4_cross_lineage_programs.png"/>
                    <pic:cNvPicPr/>
                  </pic:nvPicPr>
                  <pic:blipFill>
                    <a:blip r:embed="rId14"/>
                    <a:stretch>
                      <a:fillRect/>
                    </a:stretch>
                  </pic:blipFill>
                  <pic:spPr>
                    <a:xfrm>
                      <a:off x="0" y="0"/>
                      <a:ext cx="6217920" cy="7043442"/>
                    </a:xfrm>
                    <a:prstGeom prst="rect"/>
                  </pic:spPr>
                </pic:pic>
              </a:graphicData>
            </a:graphic>
          </wp:inline>
        </w:drawing>
      </w:r>
    </w:p>
    <w:p>
      <w:pPr>
        <w:pStyle w:val="Caption"/>
        <w:keepNext w:val="0"/>
        <w:spacing w:after="160"/>
        <w:ind w:firstLine="0"/>
      </w:pPr>
      <w:r>
        <w:rPr>
          <w:rFonts w:ascii="Times New Roman" w:hAnsi="Times New Roman" w:eastAsia="Times New Roman"/>
          <w:color w:val="000000"/>
          <w:sz w:val="17"/>
        </w:rPr>
        <w:t>Figure 4. Shared and context-restricted molecular programs. (A) Whole-library donor pseudobulk age effects. (B) Numbers of BH-significant age-up and age-down genes by cellular context. (C) Cross-context matrix of selected age coefficients. (D) Sizes of distinct evidence layers. (E) Cross-layer candidate prioritization. Association and integration panels prioritize hypotheses and do not establish causal mechanisms.</w:t>
      </w:r>
    </w:p>
    <w:p>
      <w:r>
        <w:br w:type="page"/>
      </w:r>
    </w:p>
    <w:p>
      <w:pPr>
        <w:keepNext/>
        <w:jc w:val="center"/>
      </w:pPr>
      <w:r>
        <w:drawing>
          <wp:inline xmlns:a="http://schemas.openxmlformats.org/drawingml/2006/main" xmlns:pic="http://schemas.openxmlformats.org/drawingml/2006/picture">
            <wp:extent cx="6217920" cy="7551636"/>
            <wp:docPr id="5" name="Picture 5" descr="Five-panel resource figure showing the atlas data architecture, catalog, website pages, evidence hierarchy and secondary model diagnostic." title="Five-panel resource figure showing the atlas data architecture, catalog, website"/>
            <wp:cNvGraphicFramePr>
              <a:graphicFrameLocks noChangeAspect="1"/>
            </wp:cNvGraphicFramePr>
            <a:graphic>
              <a:graphicData uri="http://schemas.openxmlformats.org/drawingml/2006/picture">
                <pic:pic>
                  <pic:nvPicPr>
                    <pic:cNvPr id="0" name="Figure5_interactive_resource.png"/>
                    <pic:cNvPicPr/>
                  </pic:nvPicPr>
                  <pic:blipFill>
                    <a:blip r:embed="rId15"/>
                    <a:stretch>
                      <a:fillRect/>
                    </a:stretch>
                  </pic:blipFill>
                  <pic:spPr>
                    <a:xfrm>
                      <a:off x="0" y="0"/>
                      <a:ext cx="6217920" cy="7551636"/>
                    </a:xfrm>
                    <a:prstGeom prst="rect"/>
                  </pic:spPr>
                </pic:pic>
              </a:graphicData>
            </a:graphic>
          </wp:inline>
        </w:drawing>
      </w:r>
    </w:p>
    <w:p>
      <w:pPr>
        <w:pStyle w:val="Caption"/>
        <w:keepNext w:val="0"/>
        <w:spacing w:after="160"/>
        <w:ind w:firstLine="0"/>
      </w:pPr>
      <w:r>
        <w:rPr>
          <w:rFonts w:ascii="Times New Roman" w:hAnsi="Times New Roman" w:eastAsia="Times New Roman"/>
          <w:color w:val="000000"/>
          <w:sz w:val="17"/>
        </w:rPr>
        <w:t>Figure 5. Interactive atlas and evidence architecture. (A) Resource layers from cells to downloads. (B) Atlas catalog. (C) Website information architecture. (D) Primary, exploratory, contextual and boundary evidence categories. (E) Internal out-of-fold prediction retained as a secondary diagnostic. Every display is linked to a downloadable source table and an interpretation boundary.</w:t>
      </w:r>
    </w:p>
    <w:p>
      <w:r>
        <w:br w:type="page"/>
      </w:r>
    </w:p>
    <w:p>
      <w:pPr>
        <w:keepNext/>
        <w:jc w:val="center"/>
      </w:pPr>
      <w:r>
        <w:drawing>
          <wp:inline xmlns:a="http://schemas.openxmlformats.org/drawingml/2006/main" xmlns:pic="http://schemas.openxmlformats.org/drawingml/2006/picture">
            <wp:extent cx="6217920" cy="6594244"/>
            <wp:docPr id="6" name="Picture 6" descr="Four-panel cohort and annotation diagnostic figure." title="Four-panel cohort and annotation diagnostic figure"/>
            <wp:cNvGraphicFramePr>
              <a:graphicFrameLocks noChangeAspect="1"/>
            </wp:cNvGraphicFramePr>
            <a:graphic>
              <a:graphicData uri="http://schemas.openxmlformats.org/drawingml/2006/picture">
                <pic:pic>
                  <pic:nvPicPr>
                    <pic:cNvPr id="0" name="Supplementary_Figure_S1_diagnostics.png"/>
                    <pic:cNvPicPr/>
                  </pic:nvPicPr>
                  <pic:blipFill>
                    <a:blip r:embed="rId16"/>
                    <a:stretch>
                      <a:fillRect/>
                    </a:stretch>
                  </pic:blipFill>
                  <pic:spPr>
                    <a:xfrm>
                      <a:off x="0" y="0"/>
                      <a:ext cx="6217920" cy="6594244"/>
                    </a:xfrm>
                    <a:prstGeom prst="rect"/>
                  </pic:spPr>
                </pic:pic>
              </a:graphicData>
            </a:graphic>
          </wp:inline>
        </w:drawing>
      </w:r>
    </w:p>
    <w:p>
      <w:pPr>
        <w:pStyle w:val="Caption"/>
        <w:keepNext w:val="0"/>
        <w:spacing w:after="160"/>
        <w:ind w:firstLine="0"/>
      </w:pPr>
      <w:r>
        <w:rPr>
          <w:rFonts w:ascii="Times New Roman" w:hAnsi="Times New Roman" w:eastAsia="Times New Roman"/>
          <w:color w:val="000000"/>
          <w:sz w:val="17"/>
        </w:rPr>
        <w:t>Supplementary Figure S1. Cohort and annotation diagnostics. Donor cell counts, the original broad-label UMAP, donor coverage of Level 1 compartments and completeness of the source annotation hierarchy.</w:t>
      </w:r>
    </w:p>
    <w:p>
      <w:r>
        <w:br w:type="page"/>
      </w:r>
    </w:p>
    <w:p>
      <w:pPr>
        <w:keepNext/>
        <w:jc w:val="center"/>
      </w:pPr>
      <w:r>
        <w:drawing>
          <wp:inline xmlns:a="http://schemas.openxmlformats.org/drawingml/2006/main" xmlns:pic="http://schemas.openxmlformats.org/drawingml/2006/picture">
            <wp:extent cx="6217920" cy="6870430"/>
            <wp:docPr id="7" name="Picture 7" descr="Two-panel Level 3 cell and donor coverage audit." title="Two-panel Level 3 cell and donor coverage audit"/>
            <wp:cNvGraphicFramePr>
              <a:graphicFrameLocks noChangeAspect="1"/>
            </wp:cNvGraphicFramePr>
            <a:graphic>
              <a:graphicData uri="http://schemas.openxmlformats.org/drawingml/2006/picture">
                <pic:pic>
                  <pic:nvPicPr>
                    <pic:cNvPr id="0" name="Supplementary_Figure_S2_fine_annotation_audit.png"/>
                    <pic:cNvPicPr/>
                  </pic:nvPicPr>
                  <pic:blipFill>
                    <a:blip r:embed="rId17"/>
                    <a:stretch>
                      <a:fillRect/>
                    </a:stretch>
                  </pic:blipFill>
                  <pic:spPr>
                    <a:xfrm>
                      <a:off x="0" y="0"/>
                      <a:ext cx="6217920" cy="6870430"/>
                    </a:xfrm>
                    <a:prstGeom prst="rect"/>
                  </pic:spPr>
                </pic:pic>
              </a:graphicData>
            </a:graphic>
          </wp:inline>
        </w:drawing>
      </w:r>
    </w:p>
    <w:p>
      <w:pPr>
        <w:pStyle w:val="Caption"/>
        <w:keepNext w:val="0"/>
        <w:spacing w:after="160"/>
        <w:ind w:firstLine="0"/>
      </w:pPr>
      <w:r>
        <w:rPr>
          <w:rFonts w:ascii="Times New Roman" w:hAnsi="Times New Roman" w:eastAsia="Times New Roman"/>
          <w:color w:val="000000"/>
          <w:sz w:val="17"/>
        </w:rPr>
        <w:t>Supplementary Figure S2. Fine-annotation coverage audit. Cell counts and donor coverage for the 55 most abundant source Level 3 labels. Colors distinguish coverage-eligible, exploratory-only and descriptive-only states.</w:t>
      </w:r>
    </w:p>
    <w:p>
      <w:r>
        <w:br w:type="page"/>
      </w:r>
    </w:p>
    <w:p>
      <w:pPr>
        <w:keepNext/>
        <w:jc w:val="center"/>
      </w:pPr>
      <w:r>
        <w:drawing>
          <wp:inline xmlns:a="http://schemas.openxmlformats.org/drawingml/2006/main" xmlns:pic="http://schemas.openxmlformats.org/drawingml/2006/picture">
            <wp:extent cx="6217920" cy="2937615"/>
            <wp:docPr id="8" name="Picture 8" descr="Two-panel internal prediction diagnostic." title="Two-panel internal prediction diagnostic"/>
            <wp:cNvGraphicFramePr>
              <a:graphicFrameLocks noChangeAspect="1"/>
            </wp:cNvGraphicFramePr>
            <a:graphic>
              <a:graphicData uri="http://schemas.openxmlformats.org/drawingml/2006/picture">
                <pic:pic>
                  <pic:nvPicPr>
                    <pic:cNvPr id="0" name="Supplementary_Figure_S3_internal_prediction.png"/>
                    <pic:cNvPicPr/>
                  </pic:nvPicPr>
                  <pic:blipFill>
                    <a:blip r:embed="rId18"/>
                    <a:stretch>
                      <a:fillRect/>
                    </a:stretch>
                  </pic:blipFill>
                  <pic:spPr>
                    <a:xfrm>
                      <a:off x="0" y="0"/>
                      <a:ext cx="6217920" cy="2937615"/>
                    </a:xfrm>
                    <a:prstGeom prst="rect"/>
                  </pic:spPr>
                </pic:pic>
              </a:graphicData>
            </a:graphic>
          </wp:inline>
        </w:drawing>
      </w:r>
    </w:p>
    <w:p>
      <w:pPr>
        <w:pStyle w:val="Caption"/>
        <w:keepNext w:val="0"/>
        <w:spacing w:after="160"/>
        <w:ind w:firstLine="0"/>
      </w:pPr>
      <w:r>
        <w:rPr>
          <w:rFonts w:ascii="Times New Roman" w:hAnsi="Times New Roman" w:eastAsia="Times New Roman"/>
          <w:color w:val="000000"/>
          <w:sz w:val="17"/>
        </w:rPr>
        <w:t>Supplementary Figure S3. Internal age-prediction diagnostics. Chronological age versus Elastic Net out-of-fold prediction and paired absolute-error distributions for Elastic Net and strict fold-internal HumanThymusFormer. Prediction is a secondary diagnostic.</w:t>
      </w:r>
    </w:p>
    <w:p>
      <w:r>
        <w:br w:type="page"/>
      </w:r>
    </w:p>
    <w:p>
      <w:pPr>
        <w:keepNext/>
        <w:jc w:val="center"/>
      </w:pPr>
      <w:r>
        <w:drawing>
          <wp:inline xmlns:a="http://schemas.openxmlformats.org/drawingml/2006/main" xmlns:pic="http://schemas.openxmlformats.org/drawingml/2006/picture">
            <wp:extent cx="6217920" cy="3105129"/>
            <wp:docPr id="9" name="Picture 9" descr="Two-panel external transfer and developmental context figure." title="Two-panel external transfer and developmental context figure"/>
            <wp:cNvGraphicFramePr>
              <a:graphicFrameLocks noChangeAspect="1"/>
            </wp:cNvGraphicFramePr>
            <a:graphic>
              <a:graphicData uri="http://schemas.openxmlformats.org/drawingml/2006/picture">
                <pic:pic>
                  <pic:nvPicPr>
                    <pic:cNvPr id="0" name="Supplementary_Figure_S4_external_context.png"/>
                    <pic:cNvPicPr/>
                  </pic:nvPicPr>
                  <pic:blipFill>
                    <a:blip r:embed="rId19"/>
                    <a:stretch>
                      <a:fillRect/>
                    </a:stretch>
                  </pic:blipFill>
                  <pic:spPr>
                    <a:xfrm>
                      <a:off x="0" y="0"/>
                      <a:ext cx="6217920" cy="3105129"/>
                    </a:xfrm>
                    <a:prstGeom prst="rect"/>
                  </pic:spPr>
                </pic:pic>
              </a:graphicData>
            </a:graphic>
          </wp:inline>
        </w:drawing>
      </w:r>
    </w:p>
    <w:p>
      <w:pPr>
        <w:pStyle w:val="Caption"/>
        <w:keepNext w:val="0"/>
        <w:spacing w:after="160"/>
        <w:ind w:firstLine="0"/>
      </w:pPr>
      <w:r>
        <w:rPr>
          <w:rFonts w:ascii="Times New Roman" w:hAnsi="Times New Roman" w:eastAsia="Times New Roman"/>
          <w:color w:val="000000"/>
          <w:sz w:val="17"/>
        </w:rPr>
        <w:t>Supplementary Figure S4. External evidence and interpretation boundary. Four-donor frozen HRA007984 transfer and pooled developmental localization of selected genes. The external transfer demonstrates technical feasibility, not reliable clinical age prediction.</w:t>
      </w:r>
    </w:p>
    <w:sectPr w:rsidR="00FC693F" w:rsidRPr="0006063C" w:rsidSect="00034616">
      <w:headerReference w:type="default" r:id="rId9"/>
      <w:footerReference w:type="default" r:id="rId10"/>
      <w:pgSz w:w="12240" w:h="15840"/>
      <w:pgMar w:top="1037"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olor w:val="666666"/>
        <w:sz w:val="15"/>
      </w:rPr>
      <w:t>Donor resolved human thymic aging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donor resolved hierarchical atlas of human thymic aging with an interactive biological resource</dc:title>
  <dc:subject>Biology-centered human thymic aging atlas manuscript</dc:subject>
  <dc:creator>Jia Zhang, Yibol, Changshan Wang</dc:creator>
  <cp:keywords>human thymus, aging, single-cell RNA sequencing, hierarchical annotation, interactive atlas</cp:keywords>
  <dc:description>generated by python-docx</dc:description>
  <cp:lastModifiedBy/>
  <cp:revision>1</cp:revision>
  <dcterms:created xsi:type="dcterms:W3CDTF">2013-12-23T23:15:00Z</dcterms:created>
  <dcterms:modified xsi:type="dcterms:W3CDTF">2013-12-23T23:15:00Z</dcterms:modified>
  <cp:category/>
</cp:coreProperties>
</file>