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30009A6" w14:textId="77777777" w:rsidR="00DD3818" w:rsidRPr="00DD3818" w:rsidRDefault="00DD3818" w:rsidP="00DD3818">
      <w:pPr>
        <w:pStyle w:val="Author"/>
        <w:spacing w:before="5pt" w:beforeAutospacing="1" w:after="5pt" w:afterAutospacing="1"/>
        <w:rPr>
          <w:rFonts w:eastAsia="MS Mincho"/>
          <w:kern w:val="48"/>
          <w:sz w:val="48"/>
          <w:szCs w:val="48"/>
          <w:lang w:val="en-PT"/>
        </w:rPr>
      </w:pPr>
      <w:r w:rsidRPr="00DD3818">
        <w:rPr>
          <w:rFonts w:eastAsia="MS Mincho"/>
          <w:kern w:val="48"/>
          <w:sz w:val="48"/>
          <w:szCs w:val="48"/>
          <w:lang w:val="en-PT"/>
        </w:rPr>
        <w:t>Análise de Eficiência e Ocupação da Rede Elétrica de Distribuição: Impacto da Iluminação Pública LED e Integração de Cargas de Mobilidade Elétrica</w:t>
      </w:r>
    </w:p>
    <w:p w14:paraId="1AF59DE3" w14:textId="77777777" w:rsidR="00D7522C" w:rsidRDefault="00D7522C" w:rsidP="003B4E04">
      <w:pPr>
        <w:pStyle w:val="Author"/>
        <w:spacing w:before="5pt" w:beforeAutospacing="1" w:after="5pt" w:afterAutospacing="1" w:line="6pt" w:lineRule="auto"/>
        <w:rPr>
          <w:sz w:val="16"/>
          <w:szCs w:val="16"/>
        </w:rPr>
      </w:pPr>
    </w:p>
    <w:p w14:paraId="5BB6C1C3"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D344DCE" w14:textId="7B48A4A7" w:rsidR="00BD670B" w:rsidRPr="00DD3818" w:rsidRDefault="009303D9" w:rsidP="00BD670B">
      <w:pPr>
        <w:pStyle w:val="Author"/>
        <w:spacing w:before="5pt" w:beforeAutospacing="1"/>
        <w:rPr>
          <w:sz w:val="18"/>
          <w:szCs w:val="18"/>
          <w:lang w:val="pt-PT"/>
        </w:rPr>
      </w:pPr>
      <w:r w:rsidRPr="00DD3818">
        <w:rPr>
          <w:sz w:val="18"/>
          <w:szCs w:val="18"/>
          <w:lang w:val="pt-PT"/>
        </w:rPr>
        <w:t>line 1</w:t>
      </w:r>
      <w:r w:rsidR="001A3B3D" w:rsidRPr="00DD3818">
        <w:rPr>
          <w:sz w:val="18"/>
          <w:szCs w:val="18"/>
          <w:lang w:val="pt-PT"/>
        </w:rPr>
        <w:t>: 1</w:t>
      </w:r>
      <w:r w:rsidR="001A3B3D" w:rsidRPr="00DD3818">
        <w:rPr>
          <w:sz w:val="18"/>
          <w:szCs w:val="18"/>
          <w:vertAlign w:val="superscript"/>
          <w:lang w:val="pt-PT"/>
        </w:rPr>
        <w:t>st</w:t>
      </w:r>
      <w:r w:rsidR="001A3B3D" w:rsidRPr="00DD3818">
        <w:rPr>
          <w:sz w:val="18"/>
          <w:szCs w:val="18"/>
          <w:lang w:val="pt-PT"/>
        </w:rPr>
        <w:t xml:space="preserve"> </w:t>
      </w:r>
      <w:r w:rsidR="00DD3818" w:rsidRPr="00DD3818">
        <w:rPr>
          <w:sz w:val="18"/>
          <w:szCs w:val="18"/>
          <w:lang w:val="pt-PT"/>
        </w:rPr>
        <w:t>Luna Gomes</w:t>
      </w:r>
      <w:r w:rsidR="001A3B3D" w:rsidRPr="00DD3818">
        <w:rPr>
          <w:sz w:val="18"/>
          <w:szCs w:val="18"/>
          <w:lang w:val="pt-PT"/>
        </w:rPr>
        <w:t xml:space="preserve"> </w:t>
      </w:r>
      <w:r w:rsidR="001A3B3D" w:rsidRPr="00DD3818">
        <w:rPr>
          <w:sz w:val="18"/>
          <w:szCs w:val="18"/>
          <w:lang w:val="pt-PT"/>
        </w:rPr>
        <w:br/>
        <w:t>line 2:</w:t>
      </w:r>
      <w:r w:rsidRPr="00DD3818">
        <w:rPr>
          <w:sz w:val="18"/>
          <w:szCs w:val="18"/>
          <w:lang w:val="pt-PT"/>
        </w:rPr>
        <w:t xml:space="preserve"> </w:t>
      </w:r>
      <w:r w:rsidR="00DD3818" w:rsidRPr="00DD3818">
        <w:rPr>
          <w:i/>
          <w:sz w:val="18"/>
          <w:szCs w:val="18"/>
          <w:lang w:val="en-PT"/>
        </w:rPr>
        <w:t xml:space="preserve">Departamento de Engenharia Informática </w:t>
      </w:r>
      <w:r w:rsidR="00D72D06" w:rsidRPr="00DD3818">
        <w:rPr>
          <w:sz w:val="18"/>
          <w:szCs w:val="18"/>
          <w:lang w:val="pt-PT"/>
        </w:rPr>
        <w:br/>
      </w:r>
      <w:r w:rsidR="00645D22" w:rsidRPr="00DD3818">
        <w:rPr>
          <w:sz w:val="18"/>
          <w:szCs w:val="18"/>
          <w:lang w:val="pt-PT"/>
        </w:rPr>
        <w:t>li</w:t>
      </w:r>
      <w:r w:rsidRPr="00DD3818">
        <w:rPr>
          <w:sz w:val="18"/>
          <w:szCs w:val="18"/>
          <w:lang w:val="pt-PT"/>
        </w:rPr>
        <w:t xml:space="preserve">ne </w:t>
      </w:r>
      <w:r w:rsidR="001A3B3D" w:rsidRPr="00DD3818">
        <w:rPr>
          <w:sz w:val="18"/>
          <w:szCs w:val="18"/>
          <w:lang w:val="pt-PT"/>
        </w:rPr>
        <w:t>3</w:t>
      </w:r>
      <w:r w:rsidRPr="00DD3818">
        <w:rPr>
          <w:sz w:val="18"/>
          <w:szCs w:val="18"/>
          <w:lang w:val="pt-PT"/>
        </w:rPr>
        <w:t xml:space="preserve">: </w:t>
      </w:r>
      <w:r w:rsidR="00DD3818" w:rsidRPr="00DD3818">
        <w:rPr>
          <w:i/>
          <w:sz w:val="18"/>
          <w:szCs w:val="18"/>
          <w:lang w:val="en-PT"/>
        </w:rPr>
        <w:t>Instituto Superior de Engenharia do Porto</w:t>
      </w:r>
      <w:r w:rsidR="001A3B3D" w:rsidRPr="00DD3818">
        <w:rPr>
          <w:i/>
          <w:sz w:val="18"/>
          <w:szCs w:val="18"/>
          <w:lang w:val="pt-PT"/>
        </w:rPr>
        <w:br/>
      </w:r>
      <w:r w:rsidR="00DD3818" w:rsidRPr="00DD3818">
        <w:rPr>
          <w:sz w:val="18"/>
          <w:szCs w:val="18"/>
          <w:lang w:val="pt-PT"/>
        </w:rPr>
        <w:t>line 4: Porto, Portugal</w:t>
      </w:r>
      <w:r w:rsidR="001A3B3D" w:rsidRPr="00DD3818">
        <w:rPr>
          <w:sz w:val="18"/>
          <w:szCs w:val="18"/>
          <w:lang w:val="pt-PT"/>
        </w:rPr>
        <w:br/>
      </w:r>
      <w:r w:rsidRPr="00DD3818">
        <w:rPr>
          <w:sz w:val="18"/>
          <w:szCs w:val="18"/>
          <w:lang w:val="pt-PT"/>
        </w:rPr>
        <w:t xml:space="preserve">line </w:t>
      </w:r>
      <w:r w:rsidR="001A3B3D" w:rsidRPr="00DD3818">
        <w:rPr>
          <w:sz w:val="18"/>
          <w:szCs w:val="18"/>
          <w:lang w:val="pt-PT"/>
        </w:rPr>
        <w:t>5: e</w:t>
      </w:r>
      <w:r w:rsidRPr="00DD3818">
        <w:rPr>
          <w:sz w:val="18"/>
          <w:szCs w:val="18"/>
          <w:lang w:val="pt-PT"/>
        </w:rPr>
        <w:t>ma</w:t>
      </w:r>
      <w:r w:rsidR="001A3B3D" w:rsidRPr="00DD3818">
        <w:rPr>
          <w:sz w:val="18"/>
          <w:szCs w:val="18"/>
          <w:lang w:val="pt-PT"/>
        </w:rPr>
        <w:t>il address</w:t>
      </w:r>
      <w:r w:rsidR="00B768D1" w:rsidRPr="00DD3818">
        <w:rPr>
          <w:sz w:val="18"/>
          <w:szCs w:val="18"/>
          <w:lang w:val="pt-PT"/>
        </w:rPr>
        <w:t xml:space="preserve"> or ORCID</w:t>
      </w:r>
    </w:p>
    <w:p w14:paraId="2A9983E5" w14:textId="2110E1C5" w:rsidR="001A3B3D" w:rsidRPr="00DD3818" w:rsidRDefault="00BD670B" w:rsidP="007B6DDA">
      <w:pPr>
        <w:pStyle w:val="Author"/>
        <w:spacing w:before="5pt" w:beforeAutospacing="1"/>
        <w:rPr>
          <w:sz w:val="18"/>
          <w:szCs w:val="18"/>
          <w:lang w:val="pt-PT"/>
        </w:rPr>
      </w:pPr>
      <w:r w:rsidRPr="00DD3818">
        <w:rPr>
          <w:sz w:val="18"/>
          <w:szCs w:val="18"/>
          <w:lang w:val="pt-PT"/>
        </w:rPr>
        <w:br w:type="column"/>
      </w:r>
      <w:r w:rsidR="001A3B3D" w:rsidRPr="00DD3818">
        <w:rPr>
          <w:sz w:val="18"/>
          <w:szCs w:val="18"/>
          <w:lang w:val="pt-PT"/>
        </w:rPr>
        <w:t>line 1: 2</w:t>
      </w:r>
      <w:r w:rsidR="001A3B3D" w:rsidRPr="00DD3818">
        <w:rPr>
          <w:sz w:val="18"/>
          <w:szCs w:val="18"/>
          <w:vertAlign w:val="superscript"/>
          <w:lang w:val="pt-PT"/>
        </w:rPr>
        <w:t>nd</w:t>
      </w:r>
      <w:r w:rsidR="001A3B3D" w:rsidRPr="00DD3818">
        <w:rPr>
          <w:sz w:val="18"/>
          <w:szCs w:val="18"/>
          <w:lang w:val="pt-PT"/>
        </w:rPr>
        <w:t xml:space="preserve"> </w:t>
      </w:r>
      <w:r w:rsidR="00DD3818" w:rsidRPr="00DD3818">
        <w:rPr>
          <w:sz w:val="18"/>
          <w:szCs w:val="18"/>
          <w:lang w:val="pt-PT"/>
        </w:rPr>
        <w:t>Mariana Martins</w:t>
      </w:r>
      <w:r w:rsidR="001A3B3D" w:rsidRPr="00DD3818">
        <w:rPr>
          <w:sz w:val="18"/>
          <w:szCs w:val="18"/>
          <w:lang w:val="pt-PT"/>
        </w:rPr>
        <w:br/>
        <w:t xml:space="preserve">line 2: </w:t>
      </w:r>
      <w:r w:rsidR="00DD3818" w:rsidRPr="00DD3818">
        <w:rPr>
          <w:i/>
          <w:sz w:val="18"/>
          <w:szCs w:val="18"/>
          <w:lang w:val="en-PT"/>
        </w:rPr>
        <w:t xml:space="preserve">Departamento de Engenharia Informática </w:t>
      </w:r>
      <w:r w:rsidR="001A3B3D" w:rsidRPr="00DD3818">
        <w:rPr>
          <w:sz w:val="18"/>
          <w:szCs w:val="18"/>
          <w:lang w:val="pt-PT"/>
        </w:rPr>
        <w:br/>
        <w:t xml:space="preserve">line 3: </w:t>
      </w:r>
      <w:r w:rsidR="00DD3818" w:rsidRPr="00DD3818">
        <w:rPr>
          <w:i/>
          <w:sz w:val="18"/>
          <w:szCs w:val="18"/>
          <w:lang w:val="en-PT"/>
        </w:rPr>
        <w:t>Instituto Superior de Engenharia do Porto</w:t>
      </w:r>
      <w:r w:rsidR="001A3B3D" w:rsidRPr="00DD3818">
        <w:rPr>
          <w:i/>
          <w:sz w:val="18"/>
          <w:szCs w:val="18"/>
          <w:lang w:val="pt-PT"/>
        </w:rPr>
        <w:br/>
      </w:r>
      <w:r w:rsidR="00DD3818" w:rsidRPr="00DD3818">
        <w:rPr>
          <w:sz w:val="18"/>
          <w:szCs w:val="18"/>
          <w:lang w:val="pt-PT"/>
        </w:rPr>
        <w:t>line 4: Porto, Portugal</w:t>
      </w:r>
      <w:r w:rsidR="001A3B3D" w:rsidRPr="00DD3818">
        <w:rPr>
          <w:sz w:val="18"/>
          <w:szCs w:val="18"/>
          <w:lang w:val="pt-PT"/>
        </w:rPr>
        <w:br/>
        <w:t>line 5: email address</w:t>
      </w:r>
      <w:r w:rsidR="00B768D1" w:rsidRPr="00DD3818">
        <w:rPr>
          <w:sz w:val="18"/>
          <w:szCs w:val="18"/>
          <w:lang w:val="pt-PT"/>
        </w:rPr>
        <w:t xml:space="preserve"> or ORCID</w:t>
      </w:r>
    </w:p>
    <w:p w14:paraId="5E65BA89" w14:textId="12AFADB8" w:rsidR="001A3B3D" w:rsidRPr="00DD3818" w:rsidRDefault="00BD670B" w:rsidP="00447BB9">
      <w:pPr>
        <w:pStyle w:val="Author"/>
        <w:spacing w:before="5pt" w:beforeAutospacing="1"/>
        <w:rPr>
          <w:sz w:val="18"/>
          <w:szCs w:val="18"/>
          <w:lang w:val="pt-PT"/>
        </w:rPr>
      </w:pPr>
      <w:r w:rsidRPr="00DD3818">
        <w:rPr>
          <w:sz w:val="18"/>
          <w:szCs w:val="18"/>
          <w:lang w:val="pt-PT"/>
        </w:rPr>
        <w:br w:type="column"/>
      </w:r>
      <w:r w:rsidR="001A3B3D" w:rsidRPr="00DD3818">
        <w:rPr>
          <w:sz w:val="18"/>
          <w:szCs w:val="18"/>
          <w:lang w:val="pt-PT"/>
        </w:rPr>
        <w:t>line 1: 3</w:t>
      </w:r>
      <w:r w:rsidR="001A3B3D" w:rsidRPr="00DD3818">
        <w:rPr>
          <w:sz w:val="18"/>
          <w:szCs w:val="18"/>
          <w:vertAlign w:val="superscript"/>
          <w:lang w:val="pt-PT"/>
        </w:rPr>
        <w:t>rd</w:t>
      </w:r>
      <w:r w:rsidR="001A3B3D" w:rsidRPr="00DD3818">
        <w:rPr>
          <w:sz w:val="18"/>
          <w:szCs w:val="18"/>
          <w:lang w:val="pt-PT"/>
        </w:rPr>
        <w:t xml:space="preserve"> </w:t>
      </w:r>
      <w:r w:rsidR="00DD3818" w:rsidRPr="00DD3818">
        <w:rPr>
          <w:sz w:val="18"/>
          <w:szCs w:val="18"/>
          <w:lang w:val="pt-PT"/>
        </w:rPr>
        <w:t>Samara Miranda</w:t>
      </w:r>
      <w:r w:rsidR="001A3B3D" w:rsidRPr="00DD3818">
        <w:rPr>
          <w:sz w:val="18"/>
          <w:szCs w:val="18"/>
          <w:lang w:val="pt-PT"/>
        </w:rPr>
        <w:br/>
        <w:t xml:space="preserve">line 2: </w:t>
      </w:r>
      <w:r w:rsidR="00DD3818" w:rsidRPr="00DD3818">
        <w:rPr>
          <w:i/>
          <w:sz w:val="18"/>
          <w:szCs w:val="18"/>
          <w:lang w:val="en-PT"/>
        </w:rPr>
        <w:t>Departamento de Engenharia Informática</w:t>
      </w:r>
      <w:r w:rsidR="00DD3818" w:rsidRPr="00DD3818">
        <w:rPr>
          <w:sz w:val="18"/>
          <w:szCs w:val="18"/>
          <w:lang w:val="pt-PT"/>
        </w:rPr>
        <w:t xml:space="preserve"> </w:t>
      </w:r>
      <w:r w:rsidR="001A3B3D" w:rsidRPr="00DD3818">
        <w:rPr>
          <w:sz w:val="18"/>
          <w:szCs w:val="18"/>
          <w:lang w:val="pt-PT"/>
        </w:rPr>
        <w:br/>
        <w:t xml:space="preserve">line 3: </w:t>
      </w:r>
      <w:r w:rsidR="00DD3818" w:rsidRPr="00DD3818">
        <w:rPr>
          <w:i/>
          <w:sz w:val="18"/>
          <w:szCs w:val="18"/>
          <w:lang w:val="en-PT"/>
        </w:rPr>
        <w:t>Instituto Superior de Engenharia do Porto</w:t>
      </w:r>
      <w:r w:rsidR="001A3B3D" w:rsidRPr="00DD3818">
        <w:rPr>
          <w:i/>
          <w:sz w:val="18"/>
          <w:szCs w:val="18"/>
          <w:lang w:val="pt-PT"/>
        </w:rPr>
        <w:br/>
      </w:r>
      <w:r w:rsidR="001A3B3D" w:rsidRPr="00DD3818">
        <w:rPr>
          <w:sz w:val="18"/>
          <w:szCs w:val="18"/>
          <w:lang w:val="pt-PT"/>
        </w:rPr>
        <w:t xml:space="preserve">line 4: </w:t>
      </w:r>
      <w:r w:rsidR="00DD3818" w:rsidRPr="00DD3818">
        <w:rPr>
          <w:sz w:val="18"/>
          <w:szCs w:val="18"/>
          <w:lang w:val="pt-PT"/>
        </w:rPr>
        <w:t>Porto, Portugal</w:t>
      </w:r>
      <w:r w:rsidR="001A3B3D" w:rsidRPr="00DD3818">
        <w:rPr>
          <w:sz w:val="18"/>
          <w:szCs w:val="18"/>
          <w:lang w:val="pt-PT"/>
        </w:rPr>
        <w:br/>
        <w:t>line 5: email address</w:t>
      </w:r>
      <w:r w:rsidR="00B768D1" w:rsidRPr="00DD3818">
        <w:rPr>
          <w:sz w:val="18"/>
          <w:szCs w:val="18"/>
          <w:lang w:val="pt-PT"/>
        </w:rPr>
        <w:t xml:space="preserve"> or ORCID</w:t>
      </w:r>
    </w:p>
    <w:p w14:paraId="6C707016" w14:textId="77777777" w:rsidR="009F1D79" w:rsidRPr="00DD3818" w:rsidRDefault="009F1D79">
      <w:pPr>
        <w:rPr>
          <w:lang w:val="pt-PT"/>
        </w:rPr>
        <w:sectPr w:rsidR="009F1D79" w:rsidRPr="00DD3818" w:rsidSect="003B4E04">
          <w:type w:val="continuous"/>
          <w:pgSz w:w="595.30pt" w:h="841.90pt" w:code="9"/>
          <w:pgMar w:top="22.50pt" w:right="44.65pt" w:bottom="72pt" w:left="44.65pt" w:header="36pt" w:footer="36pt" w:gutter="0pt"/>
          <w:cols w:num="3" w:space="36pt"/>
          <w:docGrid w:linePitch="360"/>
        </w:sectPr>
      </w:pPr>
    </w:p>
    <w:p w14:paraId="3088F18E" w14:textId="77777777" w:rsidR="009303D9" w:rsidRPr="00DD3818" w:rsidRDefault="00BD670B">
      <w:pPr>
        <w:rPr>
          <w:lang w:val="pt-PT"/>
        </w:rPr>
        <w:sectPr w:rsidR="009303D9" w:rsidRPr="00DD3818" w:rsidSect="003B4E04">
          <w:type w:val="continuous"/>
          <w:pgSz w:w="595.30pt" w:h="841.90pt" w:code="9"/>
          <w:pgMar w:top="22.50pt" w:right="44.65pt" w:bottom="72pt" w:left="44.65pt" w:header="36pt" w:footer="36pt" w:gutter="0pt"/>
          <w:cols w:num="3" w:space="36pt"/>
          <w:docGrid w:linePitch="360"/>
        </w:sectPr>
      </w:pPr>
      <w:r w:rsidRPr="00DD3818">
        <w:rPr>
          <w:lang w:val="pt-PT"/>
        </w:rPr>
        <w:br w:type="column"/>
      </w:r>
    </w:p>
    <w:p w14:paraId="3A3FBF82" w14:textId="05780082" w:rsidR="00E4262E" w:rsidRPr="00E4262E" w:rsidRDefault="00E4262E" w:rsidP="00E4262E">
      <w:pPr>
        <w:pStyle w:val="Abstract"/>
        <w:rPr>
          <w:lang w:val="en-PT"/>
        </w:rPr>
      </w:pPr>
      <w:r>
        <w:rPr>
          <w:i/>
          <w:iCs/>
          <w:lang w:val="pt-PT"/>
        </w:rPr>
        <w:t>Resumo</w:t>
      </w:r>
      <w:r w:rsidR="009303D9" w:rsidRPr="00E4262E">
        <w:rPr>
          <w:lang w:val="pt-PT"/>
        </w:rPr>
        <w:t>—</w:t>
      </w:r>
      <w:r w:rsidRPr="00E4262E">
        <w:rPr>
          <w:rFonts w:asciiTheme="minorHAnsi" w:eastAsiaTheme="minorHAnsi" w:hAnsiTheme="minorHAnsi" w:cstheme="minorBidi"/>
          <w:kern w:val="2"/>
          <w:sz w:val="24"/>
          <w:szCs w:val="24"/>
          <w:lang w:val="en-PT"/>
          <w14:ligatures w14:val="standardContextual"/>
        </w:rPr>
        <w:t xml:space="preserve"> </w:t>
      </w:r>
      <w:r w:rsidRPr="00E4262E">
        <w:rPr>
          <w:lang w:val="en-PT"/>
        </w:rPr>
        <w:t>Este artigo apresenta uma análise estatística da ocupação dos Postos de Transformação de Distribuição (PTD) em Portugal e da sua relação com a eficiência energética da Iluminação Pública (IP). A crescente eletrificação de setores como os transportes coloca novos desafios à infraestrutura elétrica existente, exigindo uma gestão mais eficiente da capacidade disponível na rede.</w:t>
      </w:r>
    </w:p>
    <w:p w14:paraId="3AA2B811" w14:textId="77777777" w:rsidR="00E4262E" w:rsidRPr="00E4262E" w:rsidRDefault="00E4262E" w:rsidP="00E4262E">
      <w:pPr>
        <w:pStyle w:val="Abstract"/>
        <w:rPr>
          <w:lang w:val="en-PT"/>
        </w:rPr>
      </w:pPr>
      <w:r w:rsidRPr="00E4262E">
        <w:rPr>
          <w:lang w:val="en-PT"/>
        </w:rPr>
        <w:t>Neste trabalho é realizada uma Análise Exploratória de Dados (EDA) e uma análise inferencial, utilizando dados públicos disponibilizados pela e-REDES relativos à iluminação pública e aos postos de transformação. Com base nestes dados são criadas variáveis que permitem estimar a potência potencialmente libertada pela substituição de luminárias convencionais por tecnologia LED e avaliar a capacidade da rede para suportar novas cargas associadas à mobilidade elétrica.</w:t>
      </w:r>
    </w:p>
    <w:p w14:paraId="0F7C35DA" w14:textId="77777777" w:rsidR="00E4262E" w:rsidRPr="00E4262E" w:rsidRDefault="00E4262E" w:rsidP="00E4262E">
      <w:pPr>
        <w:pStyle w:val="Abstract"/>
        <w:rPr>
          <w:lang w:val="en-PT"/>
        </w:rPr>
      </w:pPr>
      <w:r w:rsidRPr="00E4262E">
        <w:rPr>
          <w:lang w:val="en-PT"/>
        </w:rPr>
        <w:t>Adicionalmente, é desenvolvido um modelo de regressão linear múltipla para explicar o nível médio de ocupação da rede em função de variáveis relacionadas com a infraestrutura elétrica e com a eficiência tecnológica da iluminação pública. Os resultados permitem identificar padrões regionais de utilização da rede e avaliar o impacto potencial da modernização tecnológica da iluminação pública na integração de carregadores de veículos elétricos.</w:t>
      </w:r>
    </w:p>
    <w:p w14:paraId="10A7AE47" w14:textId="2B2A9F39" w:rsidR="004D72B5" w:rsidRPr="00E4262E" w:rsidRDefault="004D72B5" w:rsidP="00972203">
      <w:pPr>
        <w:pStyle w:val="Abstract"/>
        <w:rPr>
          <w:i/>
          <w:iCs/>
          <w:lang w:val="pt-PT"/>
        </w:rPr>
      </w:pPr>
    </w:p>
    <w:p w14:paraId="39CBACFA" w14:textId="036A8CA7" w:rsidR="00E4262E" w:rsidRPr="00E4262E" w:rsidRDefault="004D72B5" w:rsidP="00E4262E">
      <w:pPr>
        <w:pStyle w:val="Keywords"/>
        <w:rPr>
          <w:lang w:val="en-PT"/>
        </w:rPr>
      </w:pPr>
      <w:proofErr w:type="spellStart"/>
      <w:r w:rsidRPr="00E4262E">
        <w:rPr>
          <w:lang w:val="pt-PT"/>
        </w:rPr>
        <w:t>Keywords</w:t>
      </w:r>
      <w:proofErr w:type="spellEnd"/>
      <w:r w:rsidRPr="00E4262E">
        <w:rPr>
          <w:lang w:val="pt-PT"/>
        </w:rPr>
        <w:t>—</w:t>
      </w:r>
      <w:r w:rsidR="00E4262E" w:rsidRPr="00E4262E">
        <w:rPr>
          <w:rFonts w:asciiTheme="minorHAnsi" w:eastAsiaTheme="minorHAnsi" w:hAnsiTheme="minorHAnsi" w:cstheme="minorBidi"/>
          <w:kern w:val="2"/>
          <w:sz w:val="24"/>
          <w:szCs w:val="24"/>
          <w:lang w:val="en-PT"/>
          <w14:ligatures w14:val="standardContextual"/>
        </w:rPr>
        <w:t xml:space="preserve"> </w:t>
      </w:r>
      <w:r w:rsidR="00E4262E" w:rsidRPr="00E4262E">
        <w:rPr>
          <w:lang w:val="en-PT"/>
        </w:rPr>
        <w:t>Análise de Dados, Iluminação Pública, Regressão Linear, Eficiência Energética, Mobilidade Elétrica, Redes de Distribuição.</w:t>
      </w:r>
    </w:p>
    <w:p w14:paraId="1D0925AD" w14:textId="55B7B368" w:rsidR="009303D9" w:rsidRPr="00E4262E" w:rsidRDefault="009303D9" w:rsidP="00E4262E">
      <w:pPr>
        <w:pStyle w:val="Keywords"/>
        <w:rPr>
          <w:lang w:val="pt-PT"/>
        </w:rPr>
      </w:pPr>
      <w:proofErr w:type="spellStart"/>
      <w:r w:rsidRPr="00E4262E">
        <w:rPr>
          <w:lang w:val="pt-PT"/>
        </w:rPr>
        <w:t>Introduction</w:t>
      </w:r>
      <w:proofErr w:type="spellEnd"/>
      <w:r w:rsidRPr="00E4262E">
        <w:rPr>
          <w:lang w:val="pt-PT"/>
        </w:rPr>
        <w:t xml:space="preserve"> (</w:t>
      </w:r>
      <w:proofErr w:type="spellStart"/>
      <w:r w:rsidR="005B0344" w:rsidRPr="00E4262E">
        <w:rPr>
          <w:rFonts w:eastAsia="MS Mincho"/>
          <w:lang w:val="pt-PT"/>
        </w:rPr>
        <w:t>Heading</w:t>
      </w:r>
      <w:proofErr w:type="spellEnd"/>
      <w:r w:rsidR="005B0344" w:rsidRPr="00E4262E">
        <w:rPr>
          <w:rFonts w:eastAsia="MS Mincho"/>
          <w:lang w:val="pt-PT"/>
        </w:rPr>
        <w:t xml:space="preserve"> 1</w:t>
      </w:r>
      <w:r w:rsidRPr="00E4262E">
        <w:rPr>
          <w:lang w:val="pt-PT"/>
        </w:rPr>
        <w:t>)</w:t>
      </w:r>
    </w:p>
    <w:p w14:paraId="699BDD13" w14:textId="77777777" w:rsidR="00DD3818" w:rsidRPr="00DD3818" w:rsidRDefault="00DD3818" w:rsidP="00DD3818">
      <w:pPr>
        <w:jc w:val="both"/>
        <w:rPr>
          <w:lang w:val="pt-PT" w:eastAsia="en-GB"/>
        </w:rPr>
      </w:pPr>
      <w:r w:rsidRPr="00DD3818">
        <w:rPr>
          <w:lang w:val="pt-PT" w:eastAsia="en-GB"/>
        </w:rPr>
        <w:t>A transição energética e a descarbonização das cidades são atualmente objetivos centrais das políticas energéticas europeias. Neste contexto, a eletrificação de setores como os transportes e a crescente integração de tecnologias sustentáveis colocam novos desafios à gestão da infraestrutura elétrica existente.</w:t>
      </w:r>
    </w:p>
    <w:p w14:paraId="1B7D17FE" w14:textId="77777777" w:rsidR="00DD3818" w:rsidRPr="00DD3818" w:rsidRDefault="00DD3818" w:rsidP="00DD3818">
      <w:pPr>
        <w:jc w:val="both"/>
        <w:rPr>
          <w:lang w:val="pt-PT" w:eastAsia="en-GB"/>
        </w:rPr>
      </w:pPr>
      <w:r w:rsidRPr="00DD3818">
        <w:rPr>
          <w:lang w:val="pt-PT" w:eastAsia="en-GB"/>
        </w:rPr>
        <w:t xml:space="preserve">A rede de distribuição elétrica desempenha um papel fundamental neste processo, sendo responsável por garantir o fornecimento de energia aos consumidores finais. Em particular, os </w:t>
      </w:r>
      <w:r w:rsidRPr="00DD3818">
        <w:rPr>
          <w:b/>
          <w:bCs/>
          <w:lang w:val="pt-PT" w:eastAsia="en-GB"/>
        </w:rPr>
        <w:t>Postos de Transformação de Distribuição (PTD)</w:t>
      </w:r>
      <w:r w:rsidRPr="00DD3818">
        <w:rPr>
          <w:lang w:val="pt-PT" w:eastAsia="en-GB"/>
        </w:rPr>
        <w:t xml:space="preserve"> constituem elementos críticos da rede, responsáveis por converter e distribuir energia elétrica em baixa tensão. O aumento da procura energética, impulsionado pela expansão </w:t>
      </w:r>
      <w:r w:rsidRPr="00DD3818">
        <w:rPr>
          <w:lang w:val="pt-PT" w:eastAsia="en-GB"/>
        </w:rPr>
        <w:t>da mobilidade elétrica, pode levar a situações de elevada ocupação da capacidade destes equipamentos.</w:t>
      </w:r>
    </w:p>
    <w:p w14:paraId="290E28F1" w14:textId="77777777" w:rsidR="00DD3818" w:rsidRPr="00DD3818" w:rsidRDefault="00DD3818" w:rsidP="00DD3818">
      <w:pPr>
        <w:jc w:val="both"/>
        <w:rPr>
          <w:lang w:val="pt-PT" w:eastAsia="en-GB"/>
        </w:rPr>
      </w:pPr>
      <w:r w:rsidRPr="00DD3818">
        <w:rPr>
          <w:lang w:val="pt-PT" w:eastAsia="en-GB"/>
        </w:rPr>
        <w:t xml:space="preserve">Paralelamente, a </w:t>
      </w:r>
      <w:r w:rsidRPr="00DD3818">
        <w:rPr>
          <w:b/>
          <w:bCs/>
          <w:lang w:val="pt-PT" w:eastAsia="en-GB"/>
        </w:rPr>
        <w:t>Iluminação Pública (IP)</w:t>
      </w:r>
      <w:r w:rsidRPr="00DD3818">
        <w:rPr>
          <w:lang w:val="pt-PT" w:eastAsia="en-GB"/>
        </w:rPr>
        <w:t xml:space="preserve"> representa uma parcela significativa do consumo energético municipal. Nos últimos anos, tem-se assistido a uma transição progressiva das tecnologias convencionais de iluminação, como lâmpadas de mercúrio ou sódio, para soluções baseadas em </w:t>
      </w:r>
      <w:r w:rsidRPr="00DD3818">
        <w:rPr>
          <w:b/>
          <w:bCs/>
          <w:lang w:val="pt-PT" w:eastAsia="en-GB"/>
        </w:rPr>
        <w:t>tecnologia LED</w:t>
      </w:r>
      <w:r w:rsidRPr="00DD3818">
        <w:rPr>
          <w:lang w:val="pt-PT" w:eastAsia="en-GB"/>
        </w:rPr>
        <w:t>, caracterizadas por maior eficiência energética e menor consumo.</w:t>
      </w:r>
    </w:p>
    <w:p w14:paraId="1F456BD6" w14:textId="77777777" w:rsidR="00DD3818" w:rsidRPr="00DD3818" w:rsidRDefault="00DD3818" w:rsidP="00DD3818">
      <w:pPr>
        <w:jc w:val="both"/>
        <w:rPr>
          <w:lang w:val="pt-PT" w:eastAsia="en-GB"/>
        </w:rPr>
      </w:pPr>
      <w:r w:rsidRPr="00DD3818">
        <w:rPr>
          <w:lang w:val="pt-PT" w:eastAsia="en-GB"/>
        </w:rPr>
        <w:t xml:space="preserve">Esta modernização tecnológica não só contribui para a redução do consumo energético, como também pode libertar capacidade na rede elétrica. Essa capacidade adicional pode potencialmente ser utilizada para suportar novas cargas, nomeadamente </w:t>
      </w:r>
      <w:r w:rsidRPr="00DD3818">
        <w:rPr>
          <w:b/>
          <w:bCs/>
          <w:lang w:val="pt-PT" w:eastAsia="en-GB"/>
        </w:rPr>
        <w:t>infraestruturas de carregamento para veículos elétricos (VE)</w:t>
      </w:r>
      <w:r w:rsidRPr="00DD3818">
        <w:rPr>
          <w:lang w:val="pt-PT" w:eastAsia="en-GB"/>
        </w:rPr>
        <w:t>, evitando a necessidade de investimentos significativos em reforços da rede.</w:t>
      </w:r>
    </w:p>
    <w:p w14:paraId="4546B2C1" w14:textId="77777777" w:rsidR="00DD3818" w:rsidRPr="00DD3818" w:rsidRDefault="00DD3818" w:rsidP="00DD3818">
      <w:pPr>
        <w:jc w:val="both"/>
        <w:rPr>
          <w:lang w:val="pt-PT" w:eastAsia="en-GB"/>
        </w:rPr>
      </w:pPr>
      <w:r w:rsidRPr="00DD3818">
        <w:rPr>
          <w:lang w:val="pt-PT" w:eastAsia="en-GB"/>
        </w:rPr>
        <w:t xml:space="preserve">Neste contexto, o presente trabalho, desenvolvido no âmbito da unidade curricular de </w:t>
      </w:r>
      <w:r w:rsidRPr="00DD3818">
        <w:rPr>
          <w:b/>
          <w:bCs/>
          <w:lang w:val="pt-PT" w:eastAsia="en-GB"/>
        </w:rPr>
        <w:t>Análise de Dados em Informática (ANADI)</w:t>
      </w:r>
      <w:r w:rsidRPr="00DD3818">
        <w:rPr>
          <w:lang w:val="pt-PT" w:eastAsia="en-GB"/>
        </w:rPr>
        <w:t xml:space="preserve">, tem como objetivo analisar a relação entre a eficiência da iluminação pública e o nível de ocupação da rede elétrica de distribuição. Para tal, são utilizados dados públicos disponibilizados pela e-REDES relativos aos </w:t>
      </w:r>
      <w:proofErr w:type="spellStart"/>
      <w:r w:rsidRPr="00DD3818">
        <w:rPr>
          <w:lang w:val="pt-PT" w:eastAsia="en-GB"/>
        </w:rPr>
        <w:t>PTDs</w:t>
      </w:r>
      <w:proofErr w:type="spellEnd"/>
      <w:r w:rsidRPr="00DD3818">
        <w:rPr>
          <w:lang w:val="pt-PT" w:eastAsia="en-GB"/>
        </w:rPr>
        <w:t xml:space="preserve"> e ao cadastro de iluminação pública.</w:t>
      </w:r>
    </w:p>
    <w:p w14:paraId="444470ED" w14:textId="77777777" w:rsidR="00DD3818" w:rsidRPr="00DD3818" w:rsidRDefault="00DD3818" w:rsidP="00DD3818">
      <w:pPr>
        <w:jc w:val="both"/>
        <w:rPr>
          <w:lang w:val="pt-PT" w:eastAsia="en-GB"/>
        </w:rPr>
      </w:pPr>
      <w:r w:rsidRPr="00DD3818">
        <w:rPr>
          <w:lang w:val="pt-PT" w:eastAsia="en-GB"/>
        </w:rPr>
        <w:t xml:space="preserve">O estudo envolve a realização de uma </w:t>
      </w:r>
      <w:r w:rsidRPr="00DD3818">
        <w:rPr>
          <w:b/>
          <w:bCs/>
          <w:lang w:val="pt-PT" w:eastAsia="en-GB"/>
        </w:rPr>
        <w:t>Análise Exploratória de Dados</w:t>
      </w:r>
      <w:r w:rsidRPr="00DD3818">
        <w:rPr>
          <w:lang w:val="pt-PT" w:eastAsia="en-GB"/>
        </w:rPr>
        <w:t xml:space="preserve">, seguida de </w:t>
      </w:r>
      <w:r w:rsidRPr="00DD3818">
        <w:rPr>
          <w:b/>
          <w:bCs/>
          <w:lang w:val="pt-PT" w:eastAsia="en-GB"/>
        </w:rPr>
        <w:t>análise inferencial e modelação estatística</w:t>
      </w:r>
      <w:r w:rsidRPr="00DD3818">
        <w:rPr>
          <w:lang w:val="pt-PT" w:eastAsia="en-GB"/>
        </w:rPr>
        <w:t>, com o objetivo de identificar padrões de utilização da rede e avaliar o impacto potencial da modernização da iluminação pública na integração de novas cargas associadas à mobilidade elétrica.</w:t>
      </w:r>
    </w:p>
    <w:p w14:paraId="02F72B54" w14:textId="1519D1CA" w:rsidR="009303D9" w:rsidRPr="005B520E" w:rsidRDefault="009303D9" w:rsidP="00E7596C">
      <w:pPr>
        <w:pStyle w:val="BodyText"/>
      </w:pPr>
    </w:p>
    <w:p w14:paraId="5F45E1F2" w14:textId="77777777" w:rsidR="009303D9" w:rsidRPr="006B6B66" w:rsidRDefault="009303D9" w:rsidP="006B6B66">
      <w:pPr>
        <w:pStyle w:val="Heading1"/>
      </w:pPr>
      <w:r w:rsidRPr="006B6B66">
        <w:t>Ease of Use</w:t>
      </w:r>
    </w:p>
    <w:p w14:paraId="16F9F61B" w14:textId="77777777" w:rsidR="009303D9" w:rsidRDefault="009303D9" w:rsidP="00ED0149">
      <w:pPr>
        <w:pStyle w:val="Heading2"/>
      </w:pPr>
      <w:r>
        <w:t xml:space="preserve">Selecting a </w:t>
      </w:r>
      <w:r w:rsidRPr="00F271DE">
        <w:t>Template</w:t>
      </w:r>
      <w:r>
        <w:t xml:space="preserve"> (Heading 2)</w:t>
      </w:r>
    </w:p>
    <w:p w14:paraId="0E633796"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0F583DCD" w14:textId="77777777" w:rsidR="009303D9" w:rsidRPr="005B520E" w:rsidRDefault="009303D9" w:rsidP="00ED0149">
      <w:pPr>
        <w:pStyle w:val="Heading2"/>
      </w:pPr>
      <w:r w:rsidRPr="005B520E">
        <w:t>Maintaining the Integrity of the Specifications</w:t>
      </w:r>
    </w:p>
    <w:p w14:paraId="47479FD0"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w:t>
      </w:r>
      <w:r w:rsidRPr="005B520E">
        <w:lastRenderedPageBreak/>
        <w:t>measurement and others are deliberate, using specifications that anticipate your paper as one part of the entire proceedings, and not as an independent document. Please do not revise any of the current designations.</w:t>
      </w:r>
    </w:p>
    <w:p w14:paraId="21CACD33" w14:textId="77777777" w:rsidR="009303D9" w:rsidRDefault="009303D9" w:rsidP="006B6B66">
      <w:pPr>
        <w:pStyle w:val="Heading1"/>
      </w:pPr>
      <w:r>
        <w:t xml:space="preserve">Prepare Your Paper </w:t>
      </w:r>
      <w:r w:rsidRPr="005B520E">
        <w:t>Before</w:t>
      </w:r>
      <w:r>
        <w:t xml:space="preserve"> Styling</w:t>
      </w:r>
    </w:p>
    <w:p w14:paraId="7C2EE0CF"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D7369C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3FACAAAA" w14:textId="77777777" w:rsidR="009303D9" w:rsidRDefault="009303D9" w:rsidP="00ED0149">
      <w:pPr>
        <w:pStyle w:val="Heading2"/>
      </w:pPr>
      <w:r w:rsidRPr="00ED0149">
        <w:t>Abbreviations</w:t>
      </w:r>
      <w:r>
        <w:t xml:space="preserve"> and Acronyms</w:t>
      </w:r>
    </w:p>
    <w:p w14:paraId="5E1C1346"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761C4443" w14:textId="77777777" w:rsidR="009303D9" w:rsidRDefault="009303D9" w:rsidP="00ED0149">
      <w:pPr>
        <w:pStyle w:val="Heading2"/>
      </w:pPr>
      <w:r>
        <w:t>Units</w:t>
      </w:r>
    </w:p>
    <w:p w14:paraId="3573A465"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30767974"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C1E2AE9"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3C610955"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71AFCFCD"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00C3E815" w14:textId="77777777" w:rsidR="009303D9" w:rsidRPr="005B520E" w:rsidRDefault="009303D9" w:rsidP="00ED0149">
      <w:pPr>
        <w:pStyle w:val="Heading2"/>
      </w:pPr>
      <w:r w:rsidRPr="005B520E">
        <w:t>Equations</w:t>
      </w:r>
    </w:p>
    <w:p w14:paraId="76AB23CD"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1E8955D4"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E22B42E" w14:textId="491A6F0C" w:rsidR="00DD3818" w:rsidRPr="00DD3818" w:rsidRDefault="009303D9" w:rsidP="00DD3818">
      <w:pPr>
        <w:pStyle w:val="equation"/>
        <w:jc w:val="both"/>
        <w:rPr>
          <w:rFonts w:hint="eastAsia"/>
          <w:lang w:val="pt-PT"/>
        </w:rPr>
      </w:pPr>
      <w:r w:rsidRPr="005B520E">
        <w:tab/>
      </w:r>
      <w:r w:rsidR="00DD3818" w:rsidRPr="00DD3818">
        <w:rPr>
          <w:rFonts w:ascii="Cambria Math" w:hAnsi="Cambria Math"/>
          <w:i/>
          <w:iCs/>
          <w:lang w:eastAsia="en-GB"/>
        </w:rPr>
        <w:br/>
      </w:r>
      <w:r w:rsidR="00DD3818">
        <w:rPr>
          <w:rFonts w:ascii="Cambria Math" w:hAnsi="Cambria Math"/>
          <w:i/>
          <w:iCs/>
          <w:lang w:eastAsia="en-GB"/>
        </w:rPr>
        <w:tab/>
      </w:r>
      <m:oMath>
        <m:r>
          <w:rPr>
            <w:rFonts w:ascii="Cambria Math" w:hAnsi="Cambria Math"/>
            <w:lang w:eastAsia="en-GB"/>
          </w:rPr>
          <w:tab/>
        </m:r>
        <m:r>
          <w:rPr>
            <w:rFonts w:ascii="Cambria Math" w:hAnsi="Cambria Math"/>
            <w:lang w:eastAsia="en-GB"/>
          </w:rPr>
          <m:t>Y</m:t>
        </m:r>
        <m:r>
          <m:rPr>
            <m:sty m:val="p"/>
          </m:rPr>
          <w:rPr>
            <w:rFonts w:ascii="Cambria Math" w:hAnsi="Cambria Math"/>
            <w:lang w:eastAsia="en-GB"/>
          </w:rPr>
          <m:t>=</m:t>
        </m:r>
        <m:sSub>
          <m:sSubPr>
            <m:ctrlPr>
              <w:rPr>
                <w:rFonts w:ascii="Cambria Math" w:hAnsi="Cambria Math"/>
                <w:lang w:eastAsia="en-GB"/>
              </w:rPr>
            </m:ctrlPr>
          </m:sSubPr>
          <m:e>
            <m:r>
              <w:rPr>
                <w:rFonts w:ascii="Cambria Math" w:hAnsi="Cambria Math"/>
                <w:lang w:eastAsia="en-GB"/>
              </w:rPr>
              <m:t>β</m:t>
            </m:r>
          </m:e>
          <m:sub>
            <m:r>
              <m:rPr>
                <m:sty m:val="p"/>
              </m:rPr>
              <w:rPr>
                <w:rFonts w:ascii="Cambria Math" w:hAnsi="Cambria Math"/>
                <w:lang w:eastAsia="en-GB"/>
              </w:rPr>
              <m:t>0</m:t>
            </m:r>
          </m:sub>
        </m:sSub>
        <m:r>
          <m:rPr>
            <m:sty m:val="p"/>
          </m:rPr>
          <w:rPr>
            <w:rFonts w:ascii="Cambria Math" w:hAnsi="Cambria Math"/>
            <w:lang w:eastAsia="en-GB"/>
          </w:rPr>
          <m:t>+</m:t>
        </m:r>
        <m:sSub>
          <m:sSubPr>
            <m:ctrlPr>
              <w:rPr>
                <w:rFonts w:ascii="Cambria Math" w:hAnsi="Cambria Math"/>
                <w:lang w:eastAsia="en-GB"/>
              </w:rPr>
            </m:ctrlPr>
          </m:sSubPr>
          <m:e>
            <m:r>
              <w:rPr>
                <w:rFonts w:ascii="Cambria Math" w:hAnsi="Cambria Math"/>
                <w:lang w:eastAsia="en-GB"/>
              </w:rPr>
              <m:t>β</m:t>
            </m:r>
          </m:e>
          <m:sub>
            <m:r>
              <m:rPr>
                <m:sty m:val="p"/>
              </m:rPr>
              <w:rPr>
                <w:rFonts w:ascii="Cambria Math" w:hAnsi="Cambria Math"/>
                <w:lang w:eastAsia="en-GB"/>
              </w:rPr>
              <m:t>1</m:t>
            </m:r>
          </m:sub>
        </m:sSub>
        <m:sSub>
          <m:sSubPr>
            <m:ctrlPr>
              <w:rPr>
                <w:rFonts w:ascii="Cambria Math" w:hAnsi="Cambria Math"/>
                <w:lang w:eastAsia="en-GB"/>
              </w:rPr>
            </m:ctrlPr>
          </m:sSubPr>
          <m:e>
            <m:r>
              <w:rPr>
                <w:rFonts w:ascii="Cambria Math" w:hAnsi="Cambria Math"/>
                <w:lang w:eastAsia="en-GB"/>
              </w:rPr>
              <m:t>X</m:t>
            </m:r>
          </m:e>
          <m:sub>
            <m:r>
              <m:rPr>
                <m:sty m:val="p"/>
              </m:rPr>
              <w:rPr>
                <w:rFonts w:ascii="Cambria Math" w:hAnsi="Cambria Math"/>
                <w:lang w:eastAsia="en-GB"/>
              </w:rPr>
              <m:t>1</m:t>
            </m:r>
          </m:sub>
        </m:sSub>
        <m:r>
          <m:rPr>
            <m:sty m:val="p"/>
          </m:rPr>
          <w:rPr>
            <w:rFonts w:ascii="Cambria Math" w:hAnsi="Cambria Math"/>
            <w:lang w:eastAsia="en-GB"/>
          </w:rPr>
          <m:t>+</m:t>
        </m:r>
        <m:sSub>
          <m:sSubPr>
            <m:ctrlPr>
              <w:rPr>
                <w:rFonts w:ascii="Cambria Math" w:hAnsi="Cambria Math"/>
                <w:lang w:eastAsia="en-GB"/>
              </w:rPr>
            </m:ctrlPr>
          </m:sSubPr>
          <m:e>
            <m:r>
              <w:rPr>
                <w:rFonts w:ascii="Cambria Math" w:hAnsi="Cambria Math"/>
                <w:lang w:eastAsia="en-GB"/>
              </w:rPr>
              <m:t>β</m:t>
            </m:r>
          </m:e>
          <m:sub>
            <m:r>
              <m:rPr>
                <m:sty m:val="p"/>
              </m:rPr>
              <w:rPr>
                <w:rFonts w:ascii="Cambria Math" w:hAnsi="Cambria Math"/>
                <w:lang w:eastAsia="en-GB"/>
              </w:rPr>
              <m:t>2</m:t>
            </m:r>
          </m:sub>
        </m:sSub>
        <m:sSub>
          <m:sSubPr>
            <m:ctrlPr>
              <w:rPr>
                <w:rFonts w:ascii="Cambria Math" w:hAnsi="Cambria Math"/>
                <w:lang w:eastAsia="en-GB"/>
              </w:rPr>
            </m:ctrlPr>
          </m:sSubPr>
          <m:e>
            <m:r>
              <w:rPr>
                <w:rFonts w:ascii="Cambria Math" w:hAnsi="Cambria Math"/>
                <w:lang w:eastAsia="en-GB"/>
              </w:rPr>
              <m:t>X</m:t>
            </m:r>
          </m:e>
          <m:sub>
            <m:r>
              <m:rPr>
                <m:sty m:val="p"/>
              </m:rPr>
              <w:rPr>
                <w:rFonts w:ascii="Cambria Math" w:hAnsi="Cambria Math"/>
                <w:lang w:eastAsia="en-GB"/>
              </w:rPr>
              <m:t>2</m:t>
            </m:r>
          </m:sub>
        </m:sSub>
        <m:r>
          <m:rPr>
            <m:sty m:val="p"/>
          </m:rPr>
          <w:rPr>
            <w:rFonts w:ascii="Cambria Math" w:hAnsi="Cambria Math"/>
            <w:lang w:eastAsia="en-GB"/>
          </w:rPr>
          <m:t>+</m:t>
        </m:r>
        <m:sSub>
          <m:sSubPr>
            <m:ctrlPr>
              <w:rPr>
                <w:rFonts w:ascii="Cambria Math" w:hAnsi="Cambria Math"/>
                <w:lang w:eastAsia="en-GB"/>
              </w:rPr>
            </m:ctrlPr>
          </m:sSubPr>
          <m:e>
            <m:r>
              <w:rPr>
                <w:rFonts w:ascii="Cambria Math" w:hAnsi="Cambria Math"/>
                <w:lang w:eastAsia="en-GB"/>
              </w:rPr>
              <m:t>β</m:t>
            </m:r>
          </m:e>
          <m:sub>
            <m:r>
              <m:rPr>
                <m:sty m:val="p"/>
              </m:rPr>
              <w:rPr>
                <w:rFonts w:ascii="Cambria Math" w:hAnsi="Cambria Math"/>
                <w:lang w:eastAsia="en-GB"/>
              </w:rPr>
              <m:t>3</m:t>
            </m:r>
          </m:sub>
        </m:sSub>
        <m:sSub>
          <m:sSubPr>
            <m:ctrlPr>
              <w:rPr>
                <w:rFonts w:ascii="Cambria Math" w:hAnsi="Cambria Math"/>
                <w:lang w:eastAsia="en-GB"/>
              </w:rPr>
            </m:ctrlPr>
          </m:sSubPr>
          <m:e>
            <m:r>
              <w:rPr>
                <w:rFonts w:ascii="Cambria Math" w:hAnsi="Cambria Math"/>
                <w:lang w:eastAsia="en-GB"/>
              </w:rPr>
              <m:t>X</m:t>
            </m:r>
          </m:e>
          <m:sub>
            <m:r>
              <m:rPr>
                <m:sty m:val="p"/>
              </m:rPr>
              <w:rPr>
                <w:rFonts w:ascii="Cambria Math" w:hAnsi="Cambria Math"/>
                <w:lang w:eastAsia="en-GB"/>
              </w:rPr>
              <m:t>3</m:t>
            </m:r>
          </m:sub>
        </m:sSub>
        <m:r>
          <m:rPr>
            <m:sty m:val="p"/>
          </m:rPr>
          <w:rPr>
            <w:rFonts w:ascii="Cambria Math" w:hAnsi="Cambria Math"/>
            <w:lang w:eastAsia="en-GB"/>
          </w:rPr>
          <m:t>+</m:t>
        </m:r>
        <m:r>
          <w:rPr>
            <w:rFonts w:ascii="Cambria Math" w:hAnsi="Cambria Math"/>
            <w:lang w:eastAsia="en-GB"/>
          </w:rPr>
          <m:t>ϵ</m:t>
        </m:r>
      </m:oMath>
      <w:r w:rsidR="00DD3818">
        <w:rPr>
          <w:rFonts w:ascii="Cambria Math" w:hAnsi="Cambria Math"/>
          <w:i/>
          <w:iCs/>
          <w:lang w:eastAsia="en-GB"/>
        </w:rPr>
        <w:t xml:space="preserve">  </w:t>
      </w:r>
      <w:r w:rsidR="00DD3818">
        <w:rPr>
          <w:rFonts w:ascii="Cambria Math" w:hAnsi="Cambria Math"/>
          <w:i/>
          <w:iCs/>
          <w:lang w:eastAsia="en-GB"/>
        </w:rPr>
        <w:tab/>
      </w:r>
      <w:r w:rsidR="00DD3818" w:rsidRPr="00CB66E6">
        <w:t></w:t>
      </w:r>
      <w:r w:rsidR="00DD3818" w:rsidRPr="00CB66E6">
        <w:t></w:t>
      </w:r>
      <w:r w:rsidR="00DD3818" w:rsidRPr="00CB66E6">
        <w:t></w:t>
      </w:r>
    </w:p>
    <w:p w14:paraId="2496F4B6" w14:textId="6466F2F8" w:rsidR="00DD3818" w:rsidRPr="00DD3818" w:rsidRDefault="00DD3818" w:rsidP="00DD3818">
      <w:pPr>
        <w:jc w:val="both"/>
        <w:rPr>
          <w:lang w:val="pt-PT" w:eastAsia="en-GB"/>
        </w:rPr>
      </w:pPr>
    </w:p>
    <w:p w14:paraId="077AA969" w14:textId="77777777" w:rsidR="00DD3818" w:rsidRPr="00DD3818" w:rsidRDefault="00DD3818" w:rsidP="00DD3818">
      <w:pPr>
        <w:jc w:val="both"/>
        <w:rPr>
          <w:lang w:val="pt-PT" w:eastAsia="en-GB"/>
        </w:rPr>
      </w:pPr>
      <w:r w:rsidRPr="00DD3818">
        <w:rPr>
          <w:lang w:val="pt-PT" w:eastAsia="en-GB"/>
        </w:rPr>
        <w:t xml:space="preserve">Onde </w:t>
      </w:r>
      <m:oMath>
        <m:sSub>
          <m:sSubPr>
            <m:ctrlPr>
              <w:rPr>
                <w:rFonts w:ascii="Cambria Math" w:hAnsi="Cambria Math"/>
                <w:i/>
                <w:lang w:eastAsia="en-GB"/>
              </w:rPr>
            </m:ctrlPr>
          </m:sSubPr>
          <m:e>
            <m:r>
              <w:rPr>
                <w:rFonts w:ascii="Cambria Math" w:hAnsi="Cambria Math"/>
                <w:lang w:eastAsia="en-GB"/>
              </w:rPr>
              <m:t>X</m:t>
            </m:r>
          </m:e>
          <m:sub>
            <m:r>
              <w:rPr>
                <w:rFonts w:ascii="Cambria Math" w:hAnsi="Cambria Math"/>
                <w:lang w:val="pt-PT" w:eastAsia="en-GB"/>
              </w:rPr>
              <m:t>1</m:t>
            </m:r>
          </m:sub>
        </m:sSub>
      </m:oMath>
      <w:r w:rsidRPr="00DD3818">
        <w:rPr>
          <w:lang w:val="pt-PT" w:eastAsia="en-GB"/>
        </w:rPr>
        <w:t xml:space="preserve"> é o número de clientes e </w:t>
      </w:r>
      <m:oMath>
        <m:sSub>
          <m:sSubPr>
            <m:ctrlPr>
              <w:rPr>
                <w:rFonts w:ascii="Cambria Math" w:hAnsi="Cambria Math"/>
                <w:i/>
                <w:lang w:eastAsia="en-GB"/>
              </w:rPr>
            </m:ctrlPr>
          </m:sSubPr>
          <m:e>
            <m:r>
              <w:rPr>
                <w:rFonts w:ascii="Cambria Math" w:hAnsi="Cambria Math"/>
                <w:lang w:eastAsia="en-GB"/>
              </w:rPr>
              <m:t>X</m:t>
            </m:r>
          </m:e>
          <m:sub>
            <m:r>
              <w:rPr>
                <w:rFonts w:ascii="Cambria Math" w:hAnsi="Cambria Math"/>
                <w:lang w:val="pt-PT" w:eastAsia="en-GB"/>
              </w:rPr>
              <m:t>2</m:t>
            </m:r>
          </m:sub>
        </m:sSub>
      </m:oMath>
      <w:r w:rsidRPr="00DD3818">
        <w:rPr>
          <w:lang w:val="pt-PT" w:eastAsia="en-GB"/>
        </w:rPr>
        <w:t xml:space="preserve"> a potência de geração. O foco da análise recai sobre </w:t>
      </w:r>
      <m:oMath>
        <m:r>
          <w:rPr>
            <w:rFonts w:ascii="Cambria Math" w:hAnsi="Cambria Math"/>
            <w:lang w:eastAsia="en-GB"/>
          </w:rPr>
          <m:t>bet</m:t>
        </m:r>
        <m:sSub>
          <m:sSubPr>
            <m:ctrlPr>
              <w:rPr>
                <w:rFonts w:ascii="Cambria Math" w:hAnsi="Cambria Math"/>
                <w:i/>
                <w:lang w:eastAsia="en-GB"/>
              </w:rPr>
            </m:ctrlPr>
          </m:sSubPr>
          <m:e>
            <m:r>
              <w:rPr>
                <w:rFonts w:ascii="Cambria Math" w:hAnsi="Cambria Math"/>
                <w:lang w:eastAsia="en-GB"/>
              </w:rPr>
              <m:t>a</m:t>
            </m:r>
          </m:e>
          <m:sub>
            <m:r>
              <w:rPr>
                <w:rFonts w:ascii="Cambria Math" w:hAnsi="Cambria Math"/>
                <w:lang w:val="pt-PT" w:eastAsia="en-GB"/>
              </w:rPr>
              <m:t>3</m:t>
            </m:r>
          </m:sub>
        </m:sSub>
      </m:oMath>
      <w:r w:rsidRPr="00DD3818">
        <w:rPr>
          <w:lang w:val="pt-PT" w:eastAsia="en-GB"/>
        </w:rPr>
        <w:t>, que quantifica a redução na ocupação por cada ponto percentual de melhoria na eficiência LED. No passo seguinte do estudo, este modelo será aplicado especificamente aos concelhos do distrito de Aveiro (códigos 101 a 109) para validação de previsões face aos valores reais.</w:t>
      </w:r>
    </w:p>
    <w:p w14:paraId="5A362F2F" w14:textId="77777777" w:rsidR="009303D9" w:rsidRDefault="009303D9" w:rsidP="00ED0149">
      <w:pPr>
        <w:pStyle w:val="Heading2"/>
      </w:pPr>
      <w:r>
        <w:t>Some Common Mistakes</w:t>
      </w:r>
    </w:p>
    <w:p w14:paraId="6BBD16DB" w14:textId="77777777" w:rsidR="009303D9" w:rsidRPr="005B520E" w:rsidRDefault="009303D9" w:rsidP="00E7596C">
      <w:pPr>
        <w:pStyle w:val="bulletlist"/>
      </w:pPr>
      <w:r w:rsidRPr="005B520E">
        <w:t>The word “data” is plural, not singular.</w:t>
      </w:r>
    </w:p>
    <w:p w14:paraId="5022C844"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6169CA84"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28B26C9"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1F5BB806" w14:textId="77777777" w:rsidR="009303D9" w:rsidRPr="005B520E" w:rsidRDefault="009303D9" w:rsidP="00E7596C">
      <w:pPr>
        <w:pStyle w:val="bulletlist"/>
      </w:pPr>
      <w:r w:rsidRPr="005B520E">
        <w:t>Do not use the word “essentially” to mean “approximately” or “effectively”.</w:t>
      </w:r>
    </w:p>
    <w:p w14:paraId="1CAF9134"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16623542"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50A1F5C0" w14:textId="77777777" w:rsidR="009303D9" w:rsidRPr="005B520E" w:rsidRDefault="009303D9" w:rsidP="00E7596C">
      <w:pPr>
        <w:pStyle w:val="bulletlist"/>
      </w:pPr>
      <w:r w:rsidRPr="005B520E">
        <w:t>Do not confuse “imply” and “infer”.</w:t>
      </w:r>
    </w:p>
    <w:p w14:paraId="705D993E" w14:textId="77777777" w:rsidR="009303D9" w:rsidRPr="005B520E" w:rsidRDefault="009303D9" w:rsidP="00E7596C">
      <w:pPr>
        <w:pStyle w:val="bulletlist"/>
      </w:pPr>
      <w:r w:rsidRPr="005B520E">
        <w:t>The prefix “non” is not a word; it should be joined to the word it modifies, usually without a hyphen.</w:t>
      </w:r>
    </w:p>
    <w:p w14:paraId="51CCDF33" w14:textId="77777777" w:rsidR="009303D9" w:rsidRPr="005B520E" w:rsidRDefault="009303D9" w:rsidP="00E7596C">
      <w:pPr>
        <w:pStyle w:val="bulletlist"/>
      </w:pPr>
      <w:r w:rsidRPr="005B520E">
        <w:t>There is no period after the “et” in the Latin abbreviation “et al.”.</w:t>
      </w:r>
    </w:p>
    <w:p w14:paraId="3B9B9526" w14:textId="77777777" w:rsidR="009303D9" w:rsidRPr="005B520E" w:rsidRDefault="009303D9" w:rsidP="00E7596C">
      <w:pPr>
        <w:pStyle w:val="bulletlist"/>
      </w:pPr>
      <w:r w:rsidRPr="005B520E">
        <w:t>The abbreviation “i.e.” means “that is”, and the abbreviation “e.g.” means “for example”.</w:t>
      </w:r>
    </w:p>
    <w:p w14:paraId="5AB5A2AD" w14:textId="77777777" w:rsidR="009303D9" w:rsidRPr="005B520E" w:rsidRDefault="009303D9" w:rsidP="00E7596C">
      <w:pPr>
        <w:pStyle w:val="BodyText"/>
      </w:pPr>
      <w:r w:rsidRPr="005B520E">
        <w:t>An excellent style manual for science writers is [7].</w:t>
      </w:r>
    </w:p>
    <w:p w14:paraId="052EB8D1" w14:textId="77777777" w:rsidR="009303D9" w:rsidRDefault="009303D9" w:rsidP="006B6B66">
      <w:pPr>
        <w:pStyle w:val="Heading1"/>
      </w:pPr>
      <w:r>
        <w:t xml:space="preserve">Using the </w:t>
      </w:r>
      <w:r w:rsidRPr="005B520E">
        <w:t>Template</w:t>
      </w:r>
    </w:p>
    <w:p w14:paraId="6C74E7F7" w14:textId="77777777" w:rsidR="009303D9" w:rsidRPr="005B520E" w:rsidRDefault="009303D9" w:rsidP="00E7596C">
      <w:pPr>
        <w:pStyle w:val="BodyText"/>
      </w:pPr>
      <w:r w:rsidRPr="005B520E">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w:t>
      </w:r>
      <w:r w:rsidRPr="005B520E">
        <w:lastRenderedPageBreak/>
        <w:t>the scroll down window on the left of the MS Word Formatting toolbar.</w:t>
      </w:r>
    </w:p>
    <w:p w14:paraId="5BF3D7DA" w14:textId="77777777" w:rsidR="009303D9" w:rsidRDefault="009303D9" w:rsidP="00ED0149">
      <w:pPr>
        <w:pStyle w:val="Heading2"/>
      </w:pPr>
      <w:r w:rsidRPr="005B520E">
        <w:t>Authors</w:t>
      </w:r>
      <w:r>
        <w:t xml:space="preserve"> and Affiliations</w:t>
      </w:r>
    </w:p>
    <w:p w14:paraId="34ACC06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625E1312"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4E0E89B5"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1EC5BB6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B20474"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261A0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16673BDA" w14:textId="77777777" w:rsidR="006F6D3D" w:rsidRDefault="006F6D3D" w:rsidP="006F6D3D">
      <w:pPr>
        <w:jc w:val="start"/>
        <w:rPr>
          <w:i/>
          <w:iCs/>
          <w:noProof/>
        </w:rPr>
      </w:pPr>
    </w:p>
    <w:p w14:paraId="116FE3EE" w14:textId="77777777" w:rsidR="009303D9" w:rsidRDefault="009303D9" w:rsidP="00ED0149">
      <w:pPr>
        <w:pStyle w:val="Heading2"/>
      </w:pPr>
      <w:r w:rsidRPr="005B520E">
        <w:t>Identify</w:t>
      </w:r>
      <w:r>
        <w:t xml:space="preserve"> the Headings</w:t>
      </w:r>
    </w:p>
    <w:p w14:paraId="0C87CAC0"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5079DE72"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6E57AC2E"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347548B6" w14:textId="77777777" w:rsidR="009303D9" w:rsidRDefault="009303D9" w:rsidP="00ED0149">
      <w:pPr>
        <w:pStyle w:val="Heading2"/>
      </w:pPr>
      <w:r>
        <w:t>Figures and Tables</w:t>
      </w:r>
    </w:p>
    <w:p w14:paraId="12734C74"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6C48CBE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13AFABB" w14:textId="77777777">
        <w:trPr>
          <w:cantSplit/>
          <w:trHeight w:val="240"/>
          <w:tblHeader/>
          <w:jc w:val="center"/>
        </w:trPr>
        <w:tc>
          <w:tcPr>
            <w:tcW w:w="36pt" w:type="dxa"/>
            <w:vMerge w:val="restart"/>
            <w:vAlign w:val="center"/>
          </w:tcPr>
          <w:p w14:paraId="3FC3BEAD" w14:textId="77777777" w:rsidR="009303D9" w:rsidRDefault="009303D9">
            <w:pPr>
              <w:pStyle w:val="tablecolhead"/>
            </w:pPr>
            <w:r>
              <w:t>Table Head</w:t>
            </w:r>
          </w:p>
        </w:tc>
        <w:tc>
          <w:tcPr>
            <w:tcW w:w="207pt" w:type="dxa"/>
            <w:gridSpan w:val="3"/>
            <w:vAlign w:val="center"/>
          </w:tcPr>
          <w:p w14:paraId="5376D7A0" w14:textId="77777777" w:rsidR="009303D9" w:rsidRDefault="009303D9">
            <w:pPr>
              <w:pStyle w:val="tablecolhead"/>
            </w:pPr>
            <w:r>
              <w:t>Table Column Head</w:t>
            </w:r>
          </w:p>
        </w:tc>
      </w:tr>
      <w:tr w:rsidR="009303D9" w14:paraId="22019BFC" w14:textId="77777777">
        <w:trPr>
          <w:cantSplit/>
          <w:trHeight w:val="240"/>
          <w:tblHeader/>
          <w:jc w:val="center"/>
        </w:trPr>
        <w:tc>
          <w:tcPr>
            <w:tcW w:w="36pt" w:type="dxa"/>
            <w:vMerge/>
          </w:tcPr>
          <w:p w14:paraId="1EB1971A" w14:textId="77777777" w:rsidR="009303D9" w:rsidRDefault="009303D9">
            <w:pPr>
              <w:rPr>
                <w:sz w:val="16"/>
                <w:szCs w:val="16"/>
              </w:rPr>
            </w:pPr>
          </w:p>
        </w:tc>
        <w:tc>
          <w:tcPr>
            <w:tcW w:w="117pt" w:type="dxa"/>
            <w:vAlign w:val="center"/>
          </w:tcPr>
          <w:p w14:paraId="1DFE78A5" w14:textId="77777777" w:rsidR="009303D9" w:rsidRDefault="009303D9">
            <w:pPr>
              <w:pStyle w:val="tablecolsubhead"/>
            </w:pPr>
            <w:r>
              <w:t>Table column subhead</w:t>
            </w:r>
          </w:p>
        </w:tc>
        <w:tc>
          <w:tcPr>
            <w:tcW w:w="45pt" w:type="dxa"/>
            <w:vAlign w:val="center"/>
          </w:tcPr>
          <w:p w14:paraId="46670E42" w14:textId="77777777" w:rsidR="009303D9" w:rsidRDefault="009303D9">
            <w:pPr>
              <w:pStyle w:val="tablecolsubhead"/>
            </w:pPr>
            <w:r>
              <w:t>Subhead</w:t>
            </w:r>
          </w:p>
        </w:tc>
        <w:tc>
          <w:tcPr>
            <w:tcW w:w="45pt" w:type="dxa"/>
            <w:vAlign w:val="center"/>
          </w:tcPr>
          <w:p w14:paraId="7A9ADC47" w14:textId="77777777" w:rsidR="009303D9" w:rsidRDefault="009303D9">
            <w:pPr>
              <w:pStyle w:val="tablecolsubhead"/>
            </w:pPr>
            <w:r>
              <w:t>Subhead</w:t>
            </w:r>
          </w:p>
        </w:tc>
      </w:tr>
      <w:tr w:rsidR="009303D9" w14:paraId="636A307A" w14:textId="77777777">
        <w:trPr>
          <w:trHeight w:val="320"/>
          <w:jc w:val="center"/>
        </w:trPr>
        <w:tc>
          <w:tcPr>
            <w:tcW w:w="36pt" w:type="dxa"/>
            <w:vAlign w:val="center"/>
          </w:tcPr>
          <w:p w14:paraId="32C9E6B1" w14:textId="77777777" w:rsidR="009303D9" w:rsidRDefault="009303D9">
            <w:pPr>
              <w:pStyle w:val="tablecopy"/>
              <w:rPr>
                <w:sz w:val="8"/>
                <w:szCs w:val="8"/>
              </w:rPr>
            </w:pPr>
            <w:r>
              <w:t>copy</w:t>
            </w:r>
          </w:p>
        </w:tc>
        <w:tc>
          <w:tcPr>
            <w:tcW w:w="117pt" w:type="dxa"/>
            <w:vAlign w:val="center"/>
          </w:tcPr>
          <w:p w14:paraId="06A3ED78" w14:textId="77777777" w:rsidR="009303D9" w:rsidRDefault="009303D9">
            <w:pPr>
              <w:pStyle w:val="tablecopy"/>
            </w:pPr>
            <w:r>
              <w:t>More table copy</w:t>
            </w:r>
            <w:r>
              <w:rPr>
                <w:vertAlign w:val="superscript"/>
              </w:rPr>
              <w:t>a</w:t>
            </w:r>
          </w:p>
        </w:tc>
        <w:tc>
          <w:tcPr>
            <w:tcW w:w="45pt" w:type="dxa"/>
            <w:vAlign w:val="center"/>
          </w:tcPr>
          <w:p w14:paraId="59D9CDEA" w14:textId="77777777" w:rsidR="009303D9" w:rsidRDefault="009303D9">
            <w:pPr>
              <w:rPr>
                <w:sz w:val="16"/>
                <w:szCs w:val="16"/>
              </w:rPr>
            </w:pPr>
          </w:p>
        </w:tc>
        <w:tc>
          <w:tcPr>
            <w:tcW w:w="45pt" w:type="dxa"/>
            <w:vAlign w:val="center"/>
          </w:tcPr>
          <w:p w14:paraId="13BD6220" w14:textId="77777777" w:rsidR="009303D9" w:rsidRDefault="009303D9">
            <w:pPr>
              <w:rPr>
                <w:sz w:val="16"/>
                <w:szCs w:val="16"/>
              </w:rPr>
            </w:pPr>
          </w:p>
        </w:tc>
      </w:tr>
    </w:tbl>
    <w:p w14:paraId="7BD2A3C4"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5AE1822C"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184BC873"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2E559D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25983EC7"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5CAD1C2D" w14:textId="77777777" w:rsidR="009303D9" w:rsidRDefault="009303D9" w:rsidP="00A059B3">
      <w:pPr>
        <w:pStyle w:val="Heading5"/>
      </w:pPr>
      <w:r w:rsidRPr="005B520E">
        <w:t>References</w:t>
      </w:r>
    </w:p>
    <w:p w14:paraId="781ED9EA"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529AD19B"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1867FADB"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80F6B56"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3295C2E5" w14:textId="77777777" w:rsidR="009303D9" w:rsidRPr="005B520E" w:rsidRDefault="009303D9"/>
    <w:p w14:paraId="6F9ACEE2" w14:textId="259D6547" w:rsidR="00DD3818" w:rsidRPr="00260E6F" w:rsidRDefault="00DD3818" w:rsidP="00DD3818">
      <w:pPr>
        <w:pStyle w:val="references"/>
        <w:rPr>
          <w:lang w:eastAsia="en-GB"/>
        </w:rPr>
      </w:pPr>
      <w:r w:rsidRPr="00260E6F">
        <w:rPr>
          <w:lang w:eastAsia="en-GB"/>
        </w:rPr>
        <w:t xml:space="preserve">C. Heumann and S. Schomaker, </w:t>
      </w:r>
      <w:r w:rsidRPr="00260E6F">
        <w:rPr>
          <w:i/>
          <w:iCs/>
          <w:bdr w:val="none" w:sz="0" w:space="0" w:color="auto" w:frame="1"/>
          <w:lang w:eastAsia="en-GB"/>
        </w:rPr>
        <w:t>Introduction to Statistics and Data Analysis</w:t>
      </w:r>
      <w:r w:rsidRPr="00260E6F">
        <w:rPr>
          <w:lang w:eastAsia="en-GB"/>
        </w:rPr>
        <w:t>, Springer, 2016.</w:t>
      </w:r>
    </w:p>
    <w:p w14:paraId="2CE19F4F" w14:textId="77777777" w:rsidR="00DD3818" w:rsidRPr="00260E6F" w:rsidRDefault="00DD3818" w:rsidP="00DD3818">
      <w:pPr>
        <w:pStyle w:val="references"/>
        <w:rPr>
          <w:lang w:eastAsia="en-GB"/>
        </w:rPr>
      </w:pPr>
      <w:r w:rsidRPr="00260E6F">
        <w:rPr>
          <w:lang w:eastAsia="en-GB"/>
        </w:rPr>
        <w:t xml:space="preserve">W. McKinney, </w:t>
      </w:r>
      <w:r w:rsidRPr="00260E6F">
        <w:rPr>
          <w:i/>
          <w:iCs/>
          <w:bdr w:val="none" w:sz="0" w:space="0" w:color="auto" w:frame="1"/>
          <w:lang w:eastAsia="en-GB"/>
        </w:rPr>
        <w:t>Python for Data Analysis</w:t>
      </w:r>
      <w:r w:rsidRPr="00260E6F">
        <w:rPr>
          <w:lang w:eastAsia="en-GB"/>
        </w:rPr>
        <w:t>, O'Reilly Media, 2017.</w:t>
      </w:r>
    </w:p>
    <w:p w14:paraId="1DB60CB9" w14:textId="77777777" w:rsidR="009303D9" w:rsidRDefault="009303D9" w:rsidP="00836367">
      <w:pPr>
        <w:pStyle w:val="references"/>
        <w:numPr>
          <w:ilvl w:val="0"/>
          <w:numId w:val="0"/>
        </w:numPr>
        <w:ind w:start="18pt" w:hanging="18pt"/>
      </w:pPr>
    </w:p>
    <w:p w14:paraId="6C12DCC3"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2AAC1097" w14:textId="77777777" w:rsidR="009303D9" w:rsidRDefault="003B2B40" w:rsidP="005B520E">
      <w:r>
        <w:rPr>
          <w:noProof/>
        </w:rPr>
        <w:lastRenderedPageBreak/>
        <w:drawing>
          <wp:anchor distT="0" distB="0" distL="114300" distR="114300" simplePos="0" relativeHeight="251657728" behindDoc="1" locked="0" layoutInCell="1" allowOverlap="1" wp14:anchorId="26052C20" wp14:editId="2F7A951A">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BFC4E01"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09494127"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2922799" w14:textId="77777777" w:rsidR="00FD128F" w:rsidRDefault="00FD128F" w:rsidP="001A3B3D">
      <w:r>
        <w:separator/>
      </w:r>
    </w:p>
  </w:endnote>
  <w:endnote w:type="continuationSeparator" w:id="0">
    <w:p w14:paraId="0ADE8EA9" w14:textId="77777777" w:rsidR="00FD128F" w:rsidRDefault="00FD128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0002AFF" w:usb1="C000247B" w:usb2="00000009" w:usb3="00000000" w:csb0="000001FF" w:csb1="00000000"/>
  </w:font>
  <w:font w:name="Cambria Math">
    <w:panose1 w:val="02040503050406030204"/>
    <w:charset w:characterSet="iso-8859-1"/>
    <w:family w:val="roman"/>
    <w:pitch w:val="variable"/>
    <w:sig w:usb0="E00002FF" w:usb1="420024FF" w:usb2="00000000" w:usb3="00000000" w:csb0="0000019F" w:csb1="00000000"/>
  </w:font>
  <w:font w:name="Calibri Light">
    <w:panose1 w:val="020F03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8C329FF"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29C0AFE" w14:textId="77777777" w:rsidR="00FD128F" w:rsidRDefault="00FD128F" w:rsidP="001A3B3D">
      <w:r>
        <w:separator/>
      </w:r>
    </w:p>
  </w:footnote>
  <w:footnote w:type="continuationSeparator" w:id="0">
    <w:p w14:paraId="70B66BC4" w14:textId="77777777" w:rsidR="00FD128F" w:rsidRDefault="00FD128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718123167">
    <w:abstractNumId w:val="14"/>
  </w:num>
  <w:num w:numId="2" w16cid:durableId="1387871208">
    <w:abstractNumId w:val="19"/>
  </w:num>
  <w:num w:numId="3" w16cid:durableId="1187056328">
    <w:abstractNumId w:val="13"/>
  </w:num>
  <w:num w:numId="4" w16cid:durableId="2098937033">
    <w:abstractNumId w:val="16"/>
  </w:num>
  <w:num w:numId="5" w16cid:durableId="10764603">
    <w:abstractNumId w:val="16"/>
  </w:num>
  <w:num w:numId="6" w16cid:durableId="1645431483">
    <w:abstractNumId w:val="16"/>
  </w:num>
  <w:num w:numId="7" w16cid:durableId="904074781">
    <w:abstractNumId w:val="16"/>
  </w:num>
  <w:num w:numId="8" w16cid:durableId="1346131763">
    <w:abstractNumId w:val="18"/>
  </w:num>
  <w:num w:numId="9" w16cid:durableId="2120249380">
    <w:abstractNumId w:val="20"/>
  </w:num>
  <w:num w:numId="10" w16cid:durableId="669988478">
    <w:abstractNumId w:val="15"/>
  </w:num>
  <w:num w:numId="11" w16cid:durableId="1215316259">
    <w:abstractNumId w:val="12"/>
  </w:num>
  <w:num w:numId="12" w16cid:durableId="982001122">
    <w:abstractNumId w:val="11"/>
  </w:num>
  <w:num w:numId="13" w16cid:durableId="1879853545">
    <w:abstractNumId w:val="0"/>
  </w:num>
  <w:num w:numId="14" w16cid:durableId="1142890143">
    <w:abstractNumId w:val="10"/>
  </w:num>
  <w:num w:numId="15" w16cid:durableId="1813206974">
    <w:abstractNumId w:val="8"/>
  </w:num>
  <w:num w:numId="16" w16cid:durableId="2055500380">
    <w:abstractNumId w:val="7"/>
  </w:num>
  <w:num w:numId="17" w16cid:durableId="2022195260">
    <w:abstractNumId w:val="6"/>
  </w:num>
  <w:num w:numId="18" w16cid:durableId="1095635744">
    <w:abstractNumId w:val="5"/>
  </w:num>
  <w:num w:numId="19" w16cid:durableId="500511801">
    <w:abstractNumId w:val="9"/>
  </w:num>
  <w:num w:numId="20" w16cid:durableId="914172014">
    <w:abstractNumId w:val="4"/>
  </w:num>
  <w:num w:numId="21" w16cid:durableId="917638361">
    <w:abstractNumId w:val="3"/>
  </w:num>
  <w:num w:numId="22" w16cid:durableId="238636979">
    <w:abstractNumId w:val="2"/>
  </w:num>
  <w:num w:numId="23" w16cid:durableId="1951820090">
    <w:abstractNumId w:val="1"/>
  </w:num>
  <w:num w:numId="24" w16cid:durableId="857813412">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5313D"/>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A211E"/>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D3818"/>
    <w:rsid w:val="00E07383"/>
    <w:rsid w:val="00E165BC"/>
    <w:rsid w:val="00E4262E"/>
    <w:rsid w:val="00E61E12"/>
    <w:rsid w:val="00E7596C"/>
    <w:rsid w:val="00E878F2"/>
    <w:rsid w:val="00ED0149"/>
    <w:rsid w:val="00EF7DE3"/>
    <w:rsid w:val="00F03103"/>
    <w:rsid w:val="00F271DE"/>
    <w:rsid w:val="00F627DA"/>
    <w:rsid w:val="00F7288F"/>
    <w:rsid w:val="00F847A6"/>
    <w:rsid w:val="00F9441B"/>
    <w:rsid w:val="00FA4C32"/>
    <w:rsid w:val="00FD128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55A62B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27</TotalTime>
  <Pages>4</Pages>
  <Words>2328</Words>
  <Characters>13276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Samara Rosa Da Costa De Miranda</cp:lastModifiedBy>
  <cp:revision>5</cp:revision>
  <dcterms:created xsi:type="dcterms:W3CDTF">2019-01-08T18:42:00Z</dcterms:created>
  <dcterms:modified xsi:type="dcterms:W3CDTF">2026-03-12T17:24:00Z</dcterms:modified>
</cp:coreProperties>
</file>