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8E4C" w14:textId="77777777" w:rsidR="00260E6F" w:rsidRPr="00260E6F" w:rsidRDefault="00260E6F" w:rsidP="00260E6F">
      <w:pPr>
        <w:pStyle w:val="Title"/>
        <w:jc w:val="both"/>
        <w:rPr>
          <w:rFonts w:eastAsia="Times New Roman"/>
          <w:sz w:val="44"/>
          <w:szCs w:val="44"/>
          <w:lang w:eastAsia="en-GB"/>
        </w:rPr>
      </w:pPr>
      <w:r w:rsidRPr="00260E6F">
        <w:rPr>
          <w:rFonts w:eastAsia="Times New Roman"/>
          <w:sz w:val="44"/>
          <w:szCs w:val="44"/>
          <w:lang w:eastAsia="en-GB"/>
        </w:rPr>
        <w:t>Análise de Eficiência e Ocupação da Rede Elétrica de Distribuição: Impacto da Iluminação Pública LED e Integração de Cargas de Mobilidade Elétrica</w:t>
      </w:r>
    </w:p>
    <w:p w14:paraId="027AC6A4" w14:textId="77777777" w:rsidR="00260E6F" w:rsidRPr="00260E6F" w:rsidRDefault="00260E6F" w:rsidP="00260E6F">
      <w:pPr>
        <w:pStyle w:val="Heading4"/>
      </w:pPr>
      <w:r w:rsidRPr="00260E6F">
        <w:t>Mariana Martins (1230679), Luna Gomes</w:t>
      </w:r>
      <w:r w:rsidRPr="00260E6F">
        <w:t>()</w:t>
      </w:r>
      <w:r w:rsidRPr="00260E6F">
        <w:t>, Samara Miranda</w:t>
      </w:r>
      <w:r w:rsidRPr="00260E6F">
        <w:t>(1230432)</w:t>
      </w:r>
      <w:r w:rsidRPr="00260E6F">
        <w:t xml:space="preserve"> </w:t>
      </w:r>
    </w:p>
    <w:p w14:paraId="5027723A" w14:textId="77777777" w:rsidR="00260E6F" w:rsidRPr="00260E6F" w:rsidRDefault="00260E6F" w:rsidP="00260E6F">
      <w:pPr>
        <w:pStyle w:val="Heading4"/>
      </w:pPr>
      <w:r w:rsidRPr="00260E6F">
        <w:rPr>
          <w:rFonts w:eastAsiaTheme="majorEastAsia"/>
        </w:rPr>
        <w:t>Departamento de Engenharia Informática</w:t>
      </w:r>
      <w:r w:rsidRPr="00260E6F">
        <w:t xml:space="preserve"> </w:t>
      </w:r>
      <w:r w:rsidRPr="00260E6F">
        <w:rPr>
          <w:rFonts w:eastAsiaTheme="majorEastAsia"/>
        </w:rPr>
        <w:t>Instituto Superior de Engenharia do Porto</w:t>
      </w:r>
      <w:r w:rsidRPr="00260E6F">
        <w:t xml:space="preserve"> </w:t>
      </w:r>
    </w:p>
    <w:p w14:paraId="00D6D507" w14:textId="1455F357" w:rsidR="00260E6F" w:rsidRPr="00260E6F" w:rsidRDefault="00260E6F" w:rsidP="00260E6F">
      <w:pPr>
        <w:pStyle w:val="Heading4"/>
      </w:pPr>
      <w:r w:rsidRPr="00260E6F">
        <w:rPr>
          <w:rFonts w:eastAsiaTheme="majorEastAsia"/>
        </w:rPr>
        <w:t>Porto, Portugal</w:t>
      </w:r>
      <w:r w:rsidRPr="00260E6F">
        <w:t xml:space="preserve"> </w:t>
      </w:r>
    </w:p>
    <w:p w14:paraId="7E322D1C" w14:textId="77777777" w:rsidR="00260E6F" w:rsidRPr="00260E6F" w:rsidRDefault="00260E6F" w:rsidP="00260E6F">
      <w:p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</w:p>
    <w:p w14:paraId="4CB711BC" w14:textId="77777777" w:rsidR="00260E6F" w:rsidRPr="00260E6F" w:rsidRDefault="00260E6F" w:rsidP="00260E6F">
      <w:p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Resumo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— Este artigo apresenta uma análise estatística detalhada sobre a ocupação dos Postos de Transformação de Distribuição (PTD) e a sua relação com a eficiência tecnológica da Iluminação Pública (IP). Utilizando ferramentas de Ciência de Dados em Python, o estudo caracteriza a infraestrutura elétrica nacional, identifica zonas críticas de saturação e propõe um modelo de regressão linear para prever o nível de utilização da rede. Os resultados demonstram como a transição para tecnologia LED na IP pode libertar capacidade de rede para a integração de novos vetores de consumo, nomeadamente carregadores de veículos elétricos.</w:t>
      </w:r>
    </w:p>
    <w:p w14:paraId="2B201F2B" w14:textId="6D91ECAF" w:rsidR="00260E6F" w:rsidRPr="00260E6F" w:rsidRDefault="00260E6F" w:rsidP="00260E6F">
      <w:p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Palavras-Chave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— ANADI, Estatística Descritiva, Iluminação Pública, Regressão Linear, Eficiência Energética, Mobilidade Elétrica.</w:t>
      </w:r>
    </w:p>
    <w:p w14:paraId="209CD492" w14:textId="77777777" w:rsidR="00260E6F" w:rsidRPr="00260E6F" w:rsidRDefault="00260E6F" w:rsidP="00260E6F">
      <w:pPr>
        <w:pStyle w:val="Heading1"/>
      </w:pPr>
      <w:r w:rsidRPr="00260E6F">
        <w:t>1. Introdução</w:t>
      </w:r>
    </w:p>
    <w:p w14:paraId="3B93AB8C" w14:textId="77777777" w:rsidR="00260E6F" w:rsidRPr="00260E6F" w:rsidRDefault="00260E6F" w:rsidP="00260E6F">
      <w:pPr>
        <w:spacing w:after="24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 gestão inteligente das redes de distribuição elétrica é um pilar fundamental da transição energética. Com o aumento da eletrificação de setores como os transportes, a infraestrutura existente, composta por Postos de Transformação de Distribuição (PTD), enfrenta novos desafios de carga. Este estudo foca-se na otimização desta infraestrutura através da análise da Iluminação Pública (IP).</w:t>
      </w:r>
    </w:p>
    <w:p w14:paraId="2B28F0C7" w14:textId="77777777" w:rsidR="00260E6F" w:rsidRPr="00260E6F" w:rsidRDefault="00260E6F" w:rsidP="00260E6F">
      <w:pPr>
        <w:spacing w:after="24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O objetivo principal deste trabalho, realizado no âmbito da unidade curricular de Análise de Dados em Informática (ANADI), é realizar uma Análise Exploratória de Dados (EDA) e desenvolver um modelo preditivo que quantifique o impacto do "Rácio de Ineficiência Tecnológica" na ocupação da rede. Pretende-se identificar concelhos onde a libertação de potência via modernização LED viabilize a instalação de carregadores de veículos elétricos de 22 kW.</w:t>
      </w:r>
    </w:p>
    <w:p w14:paraId="5CA9D0BE" w14:textId="77777777" w:rsidR="00260E6F" w:rsidRPr="00260E6F" w:rsidRDefault="00260E6F" w:rsidP="00260E6F">
      <w:pPr>
        <w:pStyle w:val="Heading1"/>
      </w:pPr>
      <w:r w:rsidRPr="00260E6F">
        <w:t>2. Metodologia</w:t>
      </w:r>
    </w:p>
    <w:p w14:paraId="79B9E9AE" w14:textId="77777777" w:rsidR="00260E6F" w:rsidRPr="00260E6F" w:rsidRDefault="00260E6F" w:rsidP="00260E6F">
      <w:p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A análise segue as etapas de limpeza, transformação, exploração e modelação de dados recorrendo às bibliotecas </w:t>
      </w:r>
      <w:r w:rsidRPr="00260E6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Pandas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, </w:t>
      </w:r>
      <w:r w:rsidRPr="00260E6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Numpy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, </w:t>
      </w:r>
      <w:r w:rsidRPr="00260E6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Matplotlib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e </w:t>
      </w:r>
      <w:r w:rsidRPr="00260E6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Statsmodels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14:paraId="6C469E30" w14:textId="77777777" w:rsidR="00260E6F" w:rsidRPr="00260E6F" w:rsidRDefault="00260E6F" w:rsidP="00260E6F">
      <w:pPr>
        <w:pStyle w:val="Heading3"/>
      </w:pPr>
      <w:r w:rsidRPr="00260E6F">
        <w:t>2.1. Fontes de Dados</w:t>
      </w:r>
    </w:p>
    <w:p w14:paraId="6C2F7984" w14:textId="77777777" w:rsidR="00260E6F" w:rsidRPr="00260E6F" w:rsidRDefault="00260E6F" w:rsidP="00260E6F">
      <w:pPr>
        <w:spacing w:after="12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Foram integrados dois conjuntos de dados:</w:t>
      </w:r>
    </w:p>
    <w:p w14:paraId="7455B450" w14:textId="77777777" w:rsidR="00260E6F" w:rsidRPr="00260E6F" w:rsidRDefault="00260E6F" w:rsidP="00260E6F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PTD_data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: Dados técnicos de postos de transformação (Potência Instalada, Nível de Utilização, Número de Clientes e Potência de Geração).</w:t>
      </w:r>
    </w:p>
    <w:p w14:paraId="16F3488B" w14:textId="77777777" w:rsidR="00260E6F" w:rsidRPr="00260E6F" w:rsidRDefault="00260E6F" w:rsidP="00260E6F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IP_data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: Inventário de iluminação por freguesia, categorizado por tipo de lâmpada (LED vs. Tecnologias convencionais como Mercúrio ou Sódio).</w:t>
      </w:r>
    </w:p>
    <w:p w14:paraId="0E32AA21" w14:textId="77777777" w:rsidR="00260E6F" w:rsidRPr="00260E6F" w:rsidRDefault="00260E6F" w:rsidP="00260E6F">
      <w:pPr>
        <w:pStyle w:val="Heading3"/>
      </w:pPr>
      <w:r w:rsidRPr="00260E6F">
        <w:lastRenderedPageBreak/>
        <w:t>2.2. Tratamento e Engenharia de Variáveis</w:t>
      </w:r>
    </w:p>
    <w:p w14:paraId="48B57F37" w14:textId="77777777" w:rsidR="00260E6F" w:rsidRPr="00260E6F" w:rsidRDefault="00260E6F" w:rsidP="00260E6F">
      <w:pPr>
        <w:spacing w:after="12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Os dados foram limpos e agregados ao nível do concelho. Foram criadas variáveis fundamentais para o modelo:</w:t>
      </w:r>
    </w:p>
    <w:p w14:paraId="75DE48E7" w14:textId="77777777" w:rsidR="00260E6F" w:rsidRPr="00260E6F" w:rsidRDefault="00260E6F" w:rsidP="00260E6F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Nível de Utilização (Y)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: Variável dependente extraída dos intervalos de ocupação dos PTD.</w:t>
      </w:r>
    </w:p>
    <w:p w14:paraId="6B9FC3A5" w14:textId="77777777" w:rsidR="00260E6F" w:rsidRPr="00260E6F" w:rsidRDefault="00260E6F" w:rsidP="00260E6F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Rácio de Ineficiência (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$X_3$</w:t>
      </w:r>
      <w:r w:rsidRPr="00260E6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)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: Definido pela proporção de lâmpadas não-LED em relação ao total de luminárias.</w:t>
      </w:r>
    </w:p>
    <w:p w14:paraId="6B218959" w14:textId="77777777" w:rsidR="00260E6F" w:rsidRPr="00260E6F" w:rsidRDefault="00260E6F" w:rsidP="00260E6F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Potência de Geração (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$X_2$</w:t>
      </w:r>
      <w:r w:rsidRPr="00260E6F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)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: Capacidade de microgeração injetada na rede local.</w:t>
      </w:r>
    </w:p>
    <w:p w14:paraId="009F17A4" w14:textId="77777777" w:rsidR="00260E6F" w:rsidRPr="00260E6F" w:rsidRDefault="00260E6F" w:rsidP="00260E6F">
      <w:pPr>
        <w:pStyle w:val="Heading1"/>
      </w:pPr>
      <w:r w:rsidRPr="00260E6F">
        <w:t>3. Análise Exploratória de Dados (EDA)</w:t>
      </w:r>
    </w:p>
    <w:p w14:paraId="725AAF3D" w14:textId="77777777" w:rsidR="00260E6F" w:rsidRPr="00260E6F" w:rsidRDefault="00260E6F" w:rsidP="00260E6F">
      <w:pPr>
        <w:pStyle w:val="Heading3"/>
      </w:pPr>
      <w:r w:rsidRPr="00260E6F">
        <w:t>3.1. Caracterização da Ocupação por Distrito</w:t>
      </w:r>
    </w:p>
    <w:p w14:paraId="1C01AE00" w14:textId="77777777" w:rsidR="00260E6F" w:rsidRDefault="00260E6F" w:rsidP="00260E6F">
      <w:p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Através da análise de diagramas de extremos e quartis (Boxplots), observou-se uma heterogeneidade significativa entre distritos. Conforme analisado no notebook do grupo, a identificação de </w:t>
      </w:r>
      <w:r w:rsidRPr="00260E6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outliers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permite destacar zonas de risco onde a rede se encontra em níveis críticos de ocupação, exigindo reforço estrutural prioritário.</w:t>
      </w:r>
    </w:p>
    <w:p w14:paraId="00F3F596" w14:textId="77777777" w:rsidR="00260E6F" w:rsidRPr="00260E6F" w:rsidRDefault="00260E6F" w:rsidP="00260E6F">
      <w:p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</w:p>
    <w:p w14:paraId="077CF82A" w14:textId="77777777" w:rsidR="00260E6F" w:rsidRPr="00260E6F" w:rsidRDefault="00260E6F" w:rsidP="00260E6F">
      <w:pPr>
        <w:pStyle w:val="Heading3"/>
      </w:pPr>
      <w:r w:rsidRPr="00260E6F">
        <w:t>3.2. Relação entre Eficiência IP e Saturação</w:t>
      </w:r>
    </w:p>
    <w:p w14:paraId="604925A5" w14:textId="77777777" w:rsidR="00260E6F" w:rsidRPr="00260E6F" w:rsidRDefault="00260E6F" w:rsidP="00260E6F">
      <w:pPr>
        <w:spacing w:after="24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 análise de correlação preliminar indica que concelhos com baixos índices de penetração LED (alto rácio de ineficiência) tendem a apresentar menos "folga" energética. Esta observação fundamenta a hipótese de que a eficiência na IP é um preditor relevante para a capacidade disponível.</w:t>
      </w:r>
    </w:p>
    <w:p w14:paraId="7136023B" w14:textId="77777777" w:rsidR="00260E6F" w:rsidRPr="00260E6F" w:rsidRDefault="00260E6F" w:rsidP="00260E6F">
      <w:pPr>
        <w:pStyle w:val="Heading1"/>
      </w:pPr>
      <w:r w:rsidRPr="00260E6F">
        <w:t>4. Modelo de Regressão e Análise Inferencial</w:t>
      </w:r>
    </w:p>
    <w:p w14:paraId="400082BA" w14:textId="77777777" w:rsidR="00260E6F" w:rsidRPr="00260E6F" w:rsidRDefault="00260E6F" w:rsidP="00260E6F">
      <w:pPr>
        <w:spacing w:after="24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Propõe-se a estimação do nível de ocupação esperado através da equação:</w:t>
      </w:r>
    </w:p>
    <w:p w14:paraId="6EA3E59F" w14:textId="77777777" w:rsidR="00260E6F" w:rsidRPr="00260E6F" w:rsidRDefault="00260E6F" w:rsidP="00260E6F">
      <w:p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$$Y = \beta_0 + \beta_1 X_1 + \beta_2 X_2 + \beta_3 X_3 + \epsilon$$</w:t>
      </w:r>
    </w:p>
    <w:p w14:paraId="20ACEC9D" w14:textId="77777777" w:rsidR="00260E6F" w:rsidRPr="00260E6F" w:rsidRDefault="00260E6F" w:rsidP="00260E6F">
      <w:pPr>
        <w:spacing w:after="24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Onde $X_1$ é o número de clientes e $X_2$ a potência de geração. O foco da análise recai sobre $\beta_3$, que quantifica a redução na ocupação por cada ponto percentual de melhoria na eficiência LED. No passo seguinte do estudo, este modelo será aplicado especificamente aos concelhos do distrito de Aveiro (códigos 101 a 109) para validação de previsões face aos valores reais.</w:t>
      </w:r>
    </w:p>
    <w:p w14:paraId="24FE1396" w14:textId="77777777" w:rsidR="00260E6F" w:rsidRPr="00260E6F" w:rsidRDefault="00260E6F" w:rsidP="00260E6F">
      <w:pPr>
        <w:pStyle w:val="Heading1"/>
      </w:pPr>
      <w:r w:rsidRPr="00260E6F">
        <w:t>5. Conclusões Preliminares</w:t>
      </w:r>
    </w:p>
    <w:p w14:paraId="42421F15" w14:textId="77777777" w:rsidR="00260E6F" w:rsidRPr="00260E6F" w:rsidRDefault="00260E6F" w:rsidP="00260E6F">
      <w:pPr>
        <w:spacing w:after="24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Os resultados iniciais confirmam que a infraestrutura elétrica em Portugal apresenta margens de manobra distintas conforme a região geográfica. A modernização tecnológica da iluminação pública surge não apenas como uma medida de poupança direta, mas como uma ferramenta estratégica de gestão de capacidade para a mobilidade elétrica sustentável.</w:t>
      </w:r>
    </w:p>
    <w:p w14:paraId="7DAF4E4E" w14:textId="77777777" w:rsidR="00260E6F" w:rsidRPr="00260E6F" w:rsidRDefault="00260E6F" w:rsidP="00260E6F">
      <w:pPr>
        <w:spacing w:after="120" w:line="240" w:lineRule="auto"/>
        <w:jc w:val="both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Referências</w:t>
      </w:r>
    </w:p>
    <w:p w14:paraId="495BF2D5" w14:textId="77777777" w:rsidR="00260E6F" w:rsidRPr="00260E6F" w:rsidRDefault="00260E6F" w:rsidP="00260E6F">
      <w:p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lastRenderedPageBreak/>
        <w:t xml:space="preserve">[1] C. Heumann and S. Schomaker, </w:t>
      </w:r>
      <w:r w:rsidRPr="00260E6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Introduction to Statistics and Data Analysis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, Springer, 2016.</w:t>
      </w:r>
    </w:p>
    <w:p w14:paraId="677FAFD1" w14:textId="77777777" w:rsidR="00260E6F" w:rsidRPr="00260E6F" w:rsidRDefault="00260E6F" w:rsidP="00260E6F">
      <w:pPr>
        <w:spacing w:after="0" w:line="240" w:lineRule="auto"/>
        <w:jc w:val="both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[2] W. McKinney, </w:t>
      </w:r>
      <w:r w:rsidRPr="00260E6F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Python for Data Analysis</w:t>
      </w:r>
      <w:r w:rsidRPr="00260E6F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, O'Reilly Media, 2017.</w:t>
      </w:r>
    </w:p>
    <w:p w14:paraId="60C4A761" w14:textId="77777777" w:rsidR="00260E6F" w:rsidRDefault="00260E6F" w:rsidP="00260E6F">
      <w:pPr>
        <w:jc w:val="both"/>
      </w:pPr>
    </w:p>
    <w:sectPr w:rsidR="00260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D494A"/>
    <w:multiLevelType w:val="multilevel"/>
    <w:tmpl w:val="6718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57C1C"/>
    <w:multiLevelType w:val="multilevel"/>
    <w:tmpl w:val="3DC6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39514">
    <w:abstractNumId w:val="0"/>
  </w:num>
  <w:num w:numId="2" w16cid:durableId="1928030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6F"/>
    <w:rsid w:val="00260E6F"/>
    <w:rsid w:val="00AA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D4742B"/>
  <w15:chartTrackingRefBased/>
  <w15:docId w15:val="{42574A41-5C53-0648-8CAC-6515D31A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6F"/>
    <w:pPr>
      <w:keepNext/>
      <w:keepLines/>
      <w:spacing w:before="360" w:after="80"/>
      <w:jc w:val="both"/>
      <w:outlineLvl w:val="0"/>
    </w:pPr>
    <w:rPr>
      <w:rFonts w:asciiTheme="majorHAnsi" w:eastAsia="Times New Roman" w:hAnsiTheme="majorHAnsi" w:cstheme="majorBidi"/>
      <w:color w:val="000000" w:themeColor="text1"/>
      <w:sz w:val="40"/>
      <w:szCs w:val="40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E6F"/>
    <w:pPr>
      <w:keepNext/>
      <w:keepLines/>
      <w:spacing w:before="160" w:after="80"/>
      <w:outlineLvl w:val="2"/>
    </w:pPr>
    <w:rPr>
      <w:rFonts w:eastAsia="Times New Roman" w:cstheme="majorBidi"/>
      <w:color w:val="000000" w:themeColor="text1"/>
      <w:sz w:val="28"/>
      <w:szCs w:val="28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0E6F"/>
    <w:pPr>
      <w:keepNext/>
      <w:keepLines/>
      <w:spacing w:before="80" w:after="40"/>
      <w:jc w:val="both"/>
      <w:outlineLvl w:val="3"/>
    </w:pPr>
    <w:rPr>
      <w:rFonts w:eastAsia="Times New Roman" w:cstheme="majorBidi"/>
      <w:i/>
      <w:iCs/>
      <w:color w:val="000000" w:themeColor="text1"/>
      <w:bdr w:val="none" w:sz="0" w:space="0" w:color="auto" w:frame="1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6F"/>
    <w:rPr>
      <w:rFonts w:asciiTheme="majorHAnsi" w:eastAsia="Times New Roman" w:hAnsiTheme="majorHAnsi" w:cstheme="majorBidi"/>
      <w:color w:val="000000" w:themeColor="text1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60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0E6F"/>
    <w:rPr>
      <w:rFonts w:eastAsia="Times New Roman" w:cstheme="majorBidi"/>
      <w:color w:val="000000" w:themeColor="text1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60E6F"/>
    <w:rPr>
      <w:rFonts w:eastAsia="Times New Roman" w:cstheme="majorBidi"/>
      <w:i/>
      <w:iCs/>
      <w:color w:val="000000" w:themeColor="text1"/>
      <w:bdr w:val="none" w:sz="0" w:space="0" w:color="auto" w:frame="1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60E6F"/>
    <w:rPr>
      <w:b/>
      <w:bCs/>
    </w:rPr>
  </w:style>
  <w:style w:type="character" w:styleId="Emphasis">
    <w:name w:val="Emphasis"/>
    <w:basedOn w:val="DefaultParagraphFont"/>
    <w:uiPriority w:val="20"/>
    <w:qFormat/>
    <w:rsid w:val="00260E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Rosa Da Costa De Miranda</dc:creator>
  <cp:keywords/>
  <dc:description/>
  <cp:lastModifiedBy>Samara Rosa Da Costa De Miranda</cp:lastModifiedBy>
  <cp:revision>1</cp:revision>
  <dcterms:created xsi:type="dcterms:W3CDTF">2026-03-12T16:47:00Z</dcterms:created>
  <dcterms:modified xsi:type="dcterms:W3CDTF">2026-03-12T16:52:00Z</dcterms:modified>
</cp:coreProperties>
</file>