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微软雅黑"/>
          <w:b/>
          <w:color w:val="1F4E79"/>
          <w:sz w:val="50"/>
        </w:rPr>
        <w:t>赣锋锂业硬岩锂矿</w:t>
        <w:br/>
        <w:t>遥感监测综合分析报告与实施方案</w:t>
      </w:r>
    </w:p>
    <w:p>
      <w:pPr>
        <w:jc w:val="center"/>
      </w:pPr>
      <w:r>
        <w:rPr>
          <w:color w:val="595959"/>
          <w:sz w:val="28"/>
        </w:rPr>
        <w:t>2020—2026 年多源高分辨率遥感与深度学习监测</w:t>
      </w:r>
    </w:p>
    <w:p>
      <w:r>
        <w:br/>
      </w:r>
    </w:p>
    <w:p>
      <w:pPr>
        <w:jc w:val="center"/>
      </w:pPr>
      <w:r>
        <w:t>研究对象：露天采坑、排土场、尾矿设施、矿区扩张、植被破坏与生态恢复</w:t>
      </w:r>
    </w:p>
    <w:p>
      <w:pPr>
        <w:jc w:val="center"/>
      </w:pPr>
      <w:r>
        <w:t>技术体系：亚米级商业影像 + Sentinel-1/2 + DEM/降雨 + 深度学习分割与变化检测</w:t>
      </w:r>
    </w:p>
    <w:p>
      <w:pPr>
        <w:jc w:val="center"/>
      </w:pPr>
      <w:r>
        <w:t>候选区域：Goulamina、Mount Marion、Pilgangoora、宁都河源、松树岗</w:t>
      </w:r>
    </w:p>
    <w:p>
      <w:pPr>
        <w:jc w:val="center"/>
      </w:pPr>
      <w:r>
        <w:t>文档性质：研究设计与实施方案；公开资料核查与影像目录核查仍需按计划完成</w:t>
      </w:r>
    </w:p>
    <w:p>
      <w:pPr>
        <w:jc w:val="center"/>
      </w:pPr>
      <w:r>
        <w:t>编制日期：2026 年 10 月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spacing w:after="80"/>
      </w:pPr>
      <w:r>
        <w:t>本方案面向赣锋锂业相关硬岩锂矿区，建立 2020—2026 年多源遥感时序监测与深度学习自动提取体系。监测对象包括露天采坑、排土场及废石堆、尾矿设施、裸地与施工扰动区、植被、矿山道路和工业设施、水体。项目同时关注矿区扩张、植被损失与恢复，以及结合地形和降雨信息的潜在水土流失风险。</w:t>
      </w:r>
    </w:p>
    <w:p>
      <w:pPr>
        <w:spacing w:after="80"/>
      </w:pPr>
      <w:r>
        <w:t>建议先以马里 Goulamina、澳大利亚 Mount Marion、澳大利亚 Pilgangoora 作为三个核心候选样区；宁都河源作为条件样区；松树岗不作为露天矿模型默认核心区，须先核查实际开采方式和项目阶段。三个核心样区具备不同的开发阶段和矿区环境，可用于建立方法基线与跨矿区泛化测试。</w:t>
      </w:r>
    </w:p>
    <w:p>
      <w:pPr>
        <w:spacing w:after="80"/>
      </w:pPr>
      <w:r>
        <w:t>本方案强调证据边界：公开资料可用于核实项目和运营信息，但具体矿界、实际扰动边界以及每年可购亚米级影像必须分别核验。报告中的参考坐标、影像数量和工期均为前期规划参数，不是已经完成的实测成果或已确认的供应商库存。</w:t>
      </w:r>
    </w:p>
    <w:p>
      <w:pPr>
        <w:pStyle w:val="Heading2"/>
      </w:pPr>
      <w:r>
        <w:t>关键词</w:t>
      </w:r>
    </w:p>
    <w:p>
      <w:pPr>
        <w:spacing w:after="80"/>
      </w:pPr>
      <w:r>
        <w:t>赣锋锂业；硬岩锂矿；露天采坑；排土场；尾矿设施；多源遥感；Mask2Former；SAM2；变化检测；生态恢复；水土流失风险</w:t>
      </w:r>
    </w:p>
    <w:p>
      <w:pPr>
        <w:pStyle w:val="Heading1"/>
      </w:pPr>
      <w:r>
        <w:t>一、研究背景与目标</w:t>
      </w:r>
    </w:p>
    <w:p>
      <w:pPr>
        <w:pStyle w:val="Heading2"/>
      </w:pPr>
      <w:r>
        <w:t>1.1 研究背景</w:t>
      </w:r>
    </w:p>
    <w:p>
      <w:pPr>
        <w:spacing w:after="80"/>
      </w:pPr>
      <w:r>
        <w:t>露天硬岩锂矿开发会改变地表形态，表现为采坑边界推进、废石堆和排土场扩张、道路与选矿设施建设、植被覆盖变化以及排水系统调整。多时相遥感可以提供空间连续、可回溯的观测记录；亚米级商业影像适合精细识别地物边界，中分辨率卫星则有助于构建连续的年度和季节变化序列。</w:t>
      </w:r>
    </w:p>
    <w:p>
      <w:pPr>
        <w:spacing w:after="80"/>
      </w:pPr>
      <w:r>
        <w:t>单靠单期影像难以区分天然裸地与采矿扰动，也不能直接证明污染、侵蚀量或生态修复成效。因此，本项目采用地物分割、时序变化检测、地形和降雨辅助分析及人工核查相结合的方式。</w:t>
      </w:r>
    </w:p>
    <w:p>
      <w:pPr>
        <w:pStyle w:val="Heading2"/>
      </w:pPr>
      <w:r>
        <w:t>1.2 总体目标</w:t>
      </w:r>
    </w:p>
    <w:p>
      <w:pPr>
        <w:pStyle w:val="ListBullet"/>
        <w:spacing w:after="40"/>
      </w:pPr>
      <w:r>
        <w:t>建立 3—5 个候选矿区的矿山基础空间数据库，包括矿山位置、矿权/项目范围、实际扰动范围和设施边界。</w:t>
      </w:r>
    </w:p>
    <w:p>
      <w:pPr>
        <w:pStyle w:val="ListBullet"/>
        <w:spacing w:after="40"/>
      </w:pPr>
      <w:r>
        <w:t>构建 2020—2026 年多源遥感影像档案，明确各年度可用影像、分辨率、质量和授权情况。</w:t>
      </w:r>
    </w:p>
    <w:p>
      <w:pPr>
        <w:pStyle w:val="ListBullet"/>
        <w:spacing w:after="40"/>
      </w:pPr>
      <w:r>
        <w:t>训练矿山地物语义分割模型，自动提取采坑、排土场、尾矿设施、裸地扰动区、植被、道路/工业设施和水体。</w:t>
      </w:r>
    </w:p>
    <w:p>
      <w:pPr>
        <w:pStyle w:val="ListBullet"/>
        <w:spacing w:after="40"/>
      </w:pPr>
      <w:r>
        <w:t>量化年度采坑面积、边界扩张、排土场新增面积、道路与设施扩张、植被损失及复绿区域。</w:t>
      </w:r>
    </w:p>
    <w:p>
      <w:pPr>
        <w:pStyle w:val="ListBullet"/>
        <w:spacing w:after="40"/>
      </w:pPr>
      <w:r>
        <w:t>结合 DEM、坡度、汇流累积和降雨资料，筛查潜在水土流失风险区。</w:t>
      </w:r>
    </w:p>
    <w:p>
      <w:pPr>
        <w:pStyle w:val="ListBullet"/>
        <w:spacing w:after="40"/>
      </w:pPr>
      <w:r>
        <w:t>评估模型在不同矿区、不同年份、不同传感器间的泛化能力，形成可复用的 GIS 与自动处理流程。</w:t>
      </w:r>
    </w:p>
    <w:p>
      <w:pPr>
        <w:pStyle w:val="Heading2"/>
      </w:pPr>
      <w:r>
        <w:t>1.3 主要研究问题</w:t>
      </w:r>
    </w:p>
    <w:p>
      <w:pPr>
        <w:pStyle w:val="ListNumber"/>
        <w:spacing w:after="40"/>
      </w:pPr>
      <w:r>
        <w:t>2020—2026 年各矿区实际扰动范围如何变化，采坑、排土场和工业设施的扩张是否具有阶段性？</w:t>
      </w:r>
    </w:p>
    <w:p>
      <w:pPr>
        <w:pStyle w:val="ListNumber"/>
        <w:spacing w:after="40"/>
      </w:pPr>
      <w:r>
        <w:t>如何区分采矿新增扰动、自然裸地变化、季节性植被变化和传感器差异？</w:t>
      </w:r>
    </w:p>
    <w:p>
      <w:pPr>
        <w:pStyle w:val="ListNumber"/>
        <w:spacing w:after="40"/>
      </w:pPr>
      <w:r>
        <w:t>不同地貌、气候和开发阶段下，深度学习模型能否稳定识别矿山地物？</w:t>
      </w:r>
    </w:p>
    <w:p>
      <w:pPr>
        <w:pStyle w:val="ListNumber"/>
        <w:spacing w:after="40"/>
      </w:pPr>
      <w:r>
        <w:t>哪些地表变化区域可能具有较高的侵蚀风险，需要进一步现场或高精度数据核查？</w:t>
      </w:r>
    </w:p>
    <w:p>
      <w:pPr>
        <w:pStyle w:val="Heading1"/>
      </w:pPr>
      <w:r>
        <w:t>二、候选矿区核查与最终样区建议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候选矿区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当前判断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研究价值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入选条件/限制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Goulamina（马里）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2025 年进入投产阶段；需继续核验具体采坑与排土场边界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建设/投产阶段变化、矿区扩张、裸地和植被扰动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核查 2020—2026 年档案影像、项目边界、当地数据使用与安全条件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Mount Marion（澳大利亚）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运营方资料记载 2016 年开始露天开采；有多个采坑、废石堆和尾矿设施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长期时序、采坑推进、排土场和尾矿设施变化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需区分露天采矿与地下工程新增设施；明确影像季节和地形条件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Pilgangoora（澳大利亚）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2018 年投产，属于成熟硬岩锂矿；应标注为对照样区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成熟矿区的长期扰动、扩张和设施变化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研究中清楚说明项目运营主体和赣锋的参股关系，不表述为赣锋独立运营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宁都河源（江西）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资源项目可作为国内候选，但需进一步核实实际开采状态与采坑边界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中国丘陵、林地背景下的矿山地物与生态扰动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只有在确认露天开采活动和 2020—2026 年可比影像后，才正式纳入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松树岗（江西）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公开资料显示项目涉及钽铌矿，公开采矿方式信息提示不宜默认视为露天采坑样区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可作为国内矿业扰动/前期开发候选，不宜直接训练露天采坑主模型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先核实采矿方法、许可范围、项目阶段；若非露天开采则从露天矿核心样区剔除</w:t>
            </w:r>
          </w:p>
        </w:tc>
      </w:tr>
    </w:tbl>
    <w:p/>
    <w:p>
      <w:pPr>
        <w:pStyle w:val="Heading2"/>
      </w:pPr>
      <w:r>
        <w:t>2.1 推荐样区组合</w:t>
      </w:r>
    </w:p>
    <w:p>
      <w:pPr>
        <w:spacing w:after="80"/>
      </w:pPr>
      <w:r>
        <w:t>第一阶段建议以 Goulamina、Mount Marion、Pilgangoora 三个矿区建立核心方法框架。宁都河源为第四个条件样区；若确认存在持续且可观测的露天采矿扰动，则加入跨地理环境验证。松树岗需先确认开采方式，不建议为凑足样区数量而纳入露天采坑核心模型。</w:t>
      </w:r>
    </w:p>
    <w:p>
      <w:pPr>
        <w:pStyle w:val="Heading2"/>
      </w:pPr>
      <w:r>
        <w:t>2.2 选择逻辑</w:t>
      </w:r>
    </w:p>
    <w:p>
      <w:pPr>
        <w:pStyle w:val="ListBullet"/>
        <w:spacing w:after="40"/>
      </w:pPr>
      <w:r>
        <w:t>开发阶段互补：Goulamina 侧重建设/投产阶段；Mount Marion 与 Pilgangoora 侧重成熟运营和长期变化。</w:t>
      </w:r>
    </w:p>
    <w:p>
      <w:pPr>
        <w:pStyle w:val="ListBullet"/>
        <w:spacing w:after="40"/>
      </w:pPr>
      <w:r>
        <w:t>地表环境互补：澳大利亚较干旱矿区与江西丘陵、植被覆盖背景不同，可检验模型泛化能力。</w:t>
      </w:r>
    </w:p>
    <w:p>
      <w:pPr>
        <w:pStyle w:val="ListBullet"/>
        <w:spacing w:after="40"/>
      </w:pPr>
      <w:r>
        <w:t>权益关系清晰：报告需分别注明控股/合资/参股/对照属性，不能把参股项目表述为赣锋独立运营。</w:t>
      </w:r>
    </w:p>
    <w:p>
      <w:pPr>
        <w:pStyle w:val="ListBullet"/>
        <w:spacing w:after="40"/>
      </w:pPr>
      <w:r>
        <w:t>数据可行性优先：实际样区最终名单须由矿界核验和影像目录检索共同决定，而不是仅依据公司资源清单。</w:t>
      </w:r>
    </w:p>
    <w:p>
      <w:pPr>
        <w:pStyle w:val="Heading1"/>
      </w:pPr>
      <w:r>
        <w:t>三、空间边界、坐标与基础数据建库</w:t>
      </w:r>
    </w:p>
    <w:p>
      <w:pPr>
        <w:pStyle w:val="Heading2"/>
      </w:pPr>
      <w:r>
        <w:t>3.1 必须分开的空间对象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空间对象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定义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用途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不应混淆之处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矿山位置点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矿山或项目的大致地理定位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影像检索、初始定位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不是采矿边界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矿权/项目范围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官方许可或项目规划范围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管理边界、研究范围参考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不等于全部区域都已开采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实际扰动边界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影像中可识别的采坑、堆场、道路、设施和裸地扰动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主要监测对象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需逐期更新，不应直接由矿权边界替代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生态分析缓冲区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围绕实际扰动区或矿权边界建立的分析范围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植被变化和邻近区域对照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应记录缓冲距离和选择理由</w:t>
            </w:r>
          </w:p>
        </w:tc>
      </w:tr>
    </w:tbl>
    <w:p/>
    <w:p>
      <w:pPr>
        <w:pStyle w:val="Heading2"/>
      </w:pPr>
      <w:r>
        <w:t>3.2 坐标与边界核验流程</w:t>
      </w:r>
    </w:p>
    <w:p>
      <w:pPr>
        <w:pStyle w:val="ListNumber"/>
        <w:spacing w:after="40"/>
      </w:pPr>
      <w:r>
        <w:t>从官方矿业权/地籍/环境许可文件、运营方项目图、环评文件等来源收集矿界和设施边界。</w:t>
      </w:r>
    </w:p>
    <w:p>
      <w:pPr>
        <w:pStyle w:val="ListNumber"/>
        <w:spacing w:after="40"/>
      </w:pPr>
      <w:r>
        <w:t>核对数据坐标系、边界日期、文件来源、许可状态及空间精度；保留原始数据副本。</w:t>
      </w:r>
    </w:p>
    <w:p>
      <w:pPr>
        <w:pStyle w:val="ListNumber"/>
        <w:spacing w:after="40"/>
      </w:pPr>
      <w:r>
        <w:t>对参考位置点仅用于目录检索，不将近似坐标写成官方矿界。</w:t>
      </w:r>
    </w:p>
    <w:p>
      <w:pPr>
        <w:pStyle w:val="ListNumber"/>
        <w:spacing w:after="40"/>
      </w:pPr>
      <w:r>
        <w:t>通过亚米级影像对实际采坑、排土场、尾矿设施和道路进行人工核验，建立逐期扰动边界。</w:t>
      </w:r>
    </w:p>
    <w:p>
      <w:pPr>
        <w:pStyle w:val="ListNumber"/>
        <w:spacing w:after="40"/>
      </w:pPr>
      <w:r>
        <w:t>对各矿区统一使用适当的本地投影坐标系开展面积与距离计算，跨国综合统计时再转换到统一规范。</w:t>
      </w:r>
    </w:p>
    <w:p>
      <w:pPr>
        <w:pStyle w:val="Heading2"/>
      </w:pPr>
      <w:r>
        <w:t>3.3 建议的空间数据库结构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图层/表</w:t>
            </w:r>
          </w:p>
        </w:tc>
        <w:tc>
          <w:tcPr>
            <w:tcW w:type="dxa" w:w="79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关键字段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mine_site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site_id, site_name, country, operator, ownership_type, source, verified_date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permit_boundary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site_id, permit_id, valid_from, valid_to, source_url, geometry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disturbance_yearly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site_id, date, sensor, class_id, area_m2, confidence, review_status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pit_boundary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site_id, date, pit_id, perimeter_m, area_m2, source_image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waste_dump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site_id, date, dump_id, area_m2, class_confidence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tailings_facility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site_id, date, facility_id, area_m2, source_image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vegetation_metrics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site_id, date, NDVI_median, vegetation_area, loss_area, recovery_area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image_catalog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site_id, acquisition_date, sensor, pan_resolution, ms_resolution, cloud, off_nadir, license, path</w:t>
            </w:r>
          </w:p>
        </w:tc>
      </w:tr>
    </w:tbl>
    <w:p/>
    <w:p>
      <w:pPr>
        <w:pStyle w:val="Heading1"/>
      </w:pPr>
      <w:r>
        <w:t>四、遥感数据体系与采购策略</w:t>
      </w:r>
    </w:p>
    <w:p>
      <w:pPr>
        <w:pStyle w:val="Heading2"/>
      </w:pPr>
      <w:r>
        <w:t>4.1 数据源分工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数据类型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优先来源/规格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主要用途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关键限制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亚米级全色/融合影像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WorldView、Pléiades、Pléiades Neo 或已有商业数据；优先 0.3–0.5 m 全色/融合产品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采坑边缘、窄道路、堆场边界、设施识别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全色分辨率不等于多光谱分辨率；融合影像不创造真实光谱信息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高分辨率多光谱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优先包含 RGB+NIR，条件允许时保留红边等波段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植被判别、地物分类和局部变化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核实波段、原始分辨率和辐射处理级别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Sentinel-2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2020—2026 年免费时序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植被指数、裸地变化、年度趋势补充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云、阴影和 10/20 m 空间尺度限制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Sentinel-1 SAR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按可用轨道和有效影像筛选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多云条件下的变化辅助信息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散射变化受地表湿度、入射角和几何影响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DEM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经核实的地形数据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坡度、坡向、汇流累积、潜在侵蚀分析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分辨率和垂直精度会影响风险结果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降雨与气象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官方气象、卫星降雨或可靠再分析资料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侵蚀风险因子、事件前后分析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不同数据源需统一时间尺度并说明误差</w:t>
            </w:r>
          </w:p>
        </w:tc>
      </w:tr>
    </w:tbl>
    <w:p/>
    <w:p>
      <w:pPr>
        <w:pStyle w:val="Heading2"/>
      </w:pPr>
      <w:r>
        <w:t>4.2 2020—2026 年采购原则</w:t>
      </w:r>
    </w:p>
    <w:p>
      <w:pPr>
        <w:spacing w:after="80"/>
      </w:pPr>
      <w:r>
        <w:t>不建议先按每年固定购买一景的方式直接采购。应先对三个核心矿区做档案普查，再按开发阶段、设施变化和影像质量采购关键年份。Pléiades Neo 于 2021 年发射，因此不应作为 2020 年影像的唯一来源；2020 年优先查询当时已运行的 WorldView、Pléiades 等历史档案，再用 2021 年之后的数据补充。</w:t>
      </w:r>
    </w:p>
    <w:p>
      <w:pPr>
        <w:pStyle w:val="ListNumber"/>
        <w:spacing w:after="40"/>
      </w:pPr>
      <w:r>
        <w:t>第一轮：影像目录查询。每个矿区建立 2020—2026 年候选影像表，记录成像日期、卫星、全色和多光谱分辨率、云量、离轴角、覆盖范围、正射等级、价格和授权。</w:t>
      </w:r>
    </w:p>
    <w:p>
      <w:pPr>
        <w:pStyle w:val="ListNumber"/>
        <w:spacing w:after="40"/>
      </w:pPr>
      <w:r>
        <w:t>第二轮：购买关键阶段影像。优先建设/投产、明显扩张、设施改造前后，以及可用于年度对照的同季节影像。</w:t>
      </w:r>
    </w:p>
    <w:p>
      <w:pPr>
        <w:pStyle w:val="ListNumber"/>
        <w:spacing w:after="40"/>
      </w:pPr>
      <w:r>
        <w:t>第三轮：补齐时序。高分影像缺失年份用 Sentinel-2/Sentinel-1 补充，但在成果中区分数据分辨率与证据强度。</w:t>
      </w:r>
    </w:p>
    <w:p>
      <w:pPr>
        <w:pStyle w:val="ListNumber"/>
        <w:spacing w:after="40"/>
      </w:pPr>
      <w:r>
        <w:t>第四轮：近期补拍。对最新采坑边缘、排土场、复绿区及模型误判区补购高分影像用于精细标注和独立验证。</w:t>
      </w:r>
    </w:p>
    <w:p>
      <w:pPr>
        <w:pStyle w:val="ListNumber"/>
        <w:spacing w:after="40"/>
      </w:pPr>
      <w:r>
        <w:t>第五轮：采购前验收。确认影像许可允许深度学习训练、模型推理、研究发表、长期保存及跨境处理。</w:t>
      </w:r>
    </w:p>
    <w:p>
      <w:pPr>
        <w:pStyle w:val="Heading2"/>
      </w:pPr>
      <w:r>
        <w:t>4.3 影像质量控制建议</w:t>
      </w:r>
    </w:p>
    <w:p>
      <w:pPr>
        <w:pStyle w:val="ListBullet"/>
        <w:spacing w:after="40"/>
      </w:pPr>
      <w:r>
        <w:t>全色分辨率优先 0.3–0.5 m；多光谱优先 1–2 m 或更优，实际按供应商产品核验。</w:t>
      </w:r>
    </w:p>
    <w:p>
      <w:pPr>
        <w:pStyle w:val="ListBullet"/>
        <w:spacing w:after="40"/>
      </w:pPr>
      <w:r>
        <w:t>尽量选择核心区域无云影像，整体云量可作为筛选条件但不能替代矿区内云量检查。</w:t>
      </w:r>
    </w:p>
    <w:p>
      <w:pPr>
        <w:pStyle w:val="ListBullet"/>
        <w:spacing w:after="40"/>
      </w:pPr>
      <w:r>
        <w:t>尽量控制离轴角并记录太阳高度角，减少地物侧面、阴影和几何差异。</w:t>
      </w:r>
    </w:p>
    <w:p>
      <w:pPr>
        <w:pStyle w:val="ListBullet"/>
        <w:spacing w:after="40"/>
      </w:pPr>
      <w:r>
        <w:t>尽量同季节比较；对季节性植被变化，采用多时相合成或同期对照。</w:t>
      </w:r>
    </w:p>
    <w:p>
      <w:pPr>
        <w:pStyle w:val="ListBullet"/>
        <w:spacing w:after="40"/>
      </w:pPr>
      <w:r>
        <w:t>优先采购正射产品；地形起伏较大区域应核查 DEM、正射校正和地形位移。</w:t>
      </w:r>
    </w:p>
    <w:p>
      <w:pPr>
        <w:pStyle w:val="ListBullet"/>
        <w:spacing w:after="40"/>
      </w:pPr>
      <w:r>
        <w:t>所有影像保留元数据、原始文件和处理日志，禁止仅保留渲染后的 PNG/JPEG。</w:t>
      </w:r>
    </w:p>
    <w:p>
      <w:pPr>
        <w:pStyle w:val="Heading2"/>
      </w:pPr>
      <w:r>
        <w:t>4.4 初步采购量估算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方案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数量假设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三个核心矿区合计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适用情形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基础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每矿区 5 个关键年份 × 每年 2 个时相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约 30 景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先建立基础时序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推荐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每矿区 7 个年度节点 × 每年 2 个时相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约 42 景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2020—2026 年每年尽量形成可比影像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增强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每矿区每年 3 个关键时相，重要阶段补拍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约 63 景起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重点年份、事件前后或季节变化分析</w:t>
            </w:r>
          </w:p>
        </w:tc>
      </w:tr>
    </w:tbl>
    <w:p/>
    <w:p>
      <w:pPr>
        <w:spacing w:after="80"/>
      </w:pPr>
      <w:r>
        <w:t>以上数量是预算规划，不是已确认可购库存。实际采购景数取决于单景覆盖范围、矿区大小、拼接需求、影像质量和供应商档案。建议先询价和查看 quicklook，再签订正式采购。</w:t>
      </w:r>
    </w:p>
    <w:p>
      <w:pPr>
        <w:pStyle w:val="Heading1"/>
      </w:pPr>
      <w:r>
        <w:t>五、地物分类体系与标注规范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类别编码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类别名称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判读要点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主要监测指标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露天采坑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采掘形成的坑体、台阶和边缘；注意阴影与采坑内部地物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面积、周长、边界位移、年度扩张速率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排土场/废石堆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堆积形态、台阶、裸露物质和道路连接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新增面积、扩张方向、与坡面/沟谷关系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尾矿设施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尾矿库、尾矿堆存区及相关设施；可辨识时区分湿式/干式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设施边界、面积变化、周边变化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裸地/施工扰动区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新开挖、施工面、临时堆放区；排除天然裸岩和河床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新增扰动面积、持续时间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植被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树木、灌草等；首版可合并为一类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植被面积、损失面积、持续复绿面积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道路/工业设施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矿山道路、厂房、破碎/选矿设施、堆场硬化面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道路长度、设施面积、建设变化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水体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自然水体、积水区、沉淀池等；条件允许时细分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水体面积变化、与排水设施的空间关系</w:t>
            </w:r>
          </w:p>
        </w:tc>
      </w:tr>
    </w:tbl>
    <w:p/>
    <w:p>
      <w:pPr>
        <w:spacing w:after="80"/>
      </w:pPr>
      <w:r>
        <w:t>标注规范：每类应提供正例、易混淆反例、边界规则和忽略区规则。天然裸岩、河床、农田裸地、道路阴影、厂房阴影、尾矿设施与水体边界是重点难例。类别 0 应用于背景或忽略区时必须在数据格式中区分“真实背景”和“无标签/不参与损失”的 ignore index，避免模型把未标注区域当作负样本。</w:t>
      </w:r>
    </w:p>
    <w:p>
      <w:pPr>
        <w:spacing w:after="80"/>
      </w:pPr>
      <w:r>
        <w:t>每个矿区先制作代表性试验切片，再依据类别分布、错误类型和边界复杂程度扩充样本。可从每矿区 30—50 个 1024 或 2048 像素切片起步，但实际样本量应由学习曲线和验证误差决定，不应把这个数量当作达到指定精度的保证。</w:t>
      </w:r>
    </w:p>
    <w:p>
      <w:pPr>
        <w:pStyle w:val="Heading1"/>
      </w:pPr>
      <w:r>
        <w:t>六、深度学习模型与技术路线</w:t>
      </w:r>
    </w:p>
    <w:p>
      <w:pPr>
        <w:pStyle w:val="Heading2"/>
      </w:pPr>
      <w:r>
        <w:t>6.1 模块 A：语义分割</w:t>
      </w:r>
    </w:p>
    <w:p>
      <w:pPr>
        <w:spacing w:after="80"/>
      </w:pPr>
      <w:r>
        <w:t>主模型建议从 Mask2Former + Swin-B 或同等规模骨干开始，输出七类地物的像素级分类图。若算力或标注量有限，可同步建立 SegFormer 作为轻量级基线，以比较速度、显存需求和精度。</w:t>
      </w:r>
    </w:p>
    <w:p>
      <w:pPr>
        <w:pStyle w:val="ListBullet"/>
        <w:spacing w:after="40"/>
      </w:pPr>
      <w:r>
        <w:t>输入：保留原始光谱波段的多光谱数据；RGB/全色融合图可作为独立输入分支或独立实验，避免将融合产品误认为原始多光谱。</w:t>
      </w:r>
    </w:p>
    <w:p>
      <w:pPr>
        <w:pStyle w:val="ListBullet"/>
        <w:spacing w:after="40"/>
      </w:pPr>
      <w:r>
        <w:t>切片：统一地面覆盖范围和训练像素尺寸；重叠切片用于减少边缘截断，预测后通过重叠区融合与矢量后处理。</w:t>
      </w:r>
    </w:p>
    <w:p>
      <w:pPr>
        <w:pStyle w:val="ListBullet"/>
        <w:spacing w:after="40"/>
      </w:pPr>
      <w:r>
        <w:t>增强：适度使用翻转、旋转、亮度/对比度变化、尺度变化；谨慎使用会改变真实光谱关系的强颜色增强。</w:t>
      </w:r>
    </w:p>
    <w:p>
      <w:pPr>
        <w:pStyle w:val="ListBullet"/>
        <w:spacing w:after="40"/>
      </w:pPr>
      <w:r>
        <w:t>输出：分类栅格、类别置信度、矢量化边界和处理日志。</w:t>
      </w:r>
    </w:p>
    <w:p>
      <w:pPr>
        <w:pStyle w:val="Heading2"/>
      </w:pPr>
      <w:r>
        <w:t>6.2 模块 B：SAM2 辅助标注</w:t>
      </w:r>
    </w:p>
    <w:p>
      <w:pPr>
        <w:spacing w:after="80"/>
      </w:pPr>
      <w:r>
        <w:t>SAM2 适合辅助生成对象掩膜、快速勾画地物轮廓和人工修正，但其基础输出并不天然包含“采坑”“排土场”等语义类别。建议由人工提供点、框或初始掩膜，再结合统一类别规范审核。SAM2 掩膜不能未经核验直接当作最终训练标签。</w:t>
      </w:r>
    </w:p>
    <w:p>
      <w:pPr>
        <w:pStyle w:val="Heading2"/>
      </w:pPr>
      <w:r>
        <w:t>6.3 模块 C：变化检测</w:t>
      </w:r>
    </w:p>
    <w:p>
      <w:pPr>
        <w:spacing w:after="80"/>
      </w:pPr>
      <w:r>
        <w:t>第一阶段先采用同一分类体系下的多期分类结果进行 GIS 叠加、类别转移矩阵和面积变化计算，建立可解释的基线。第二阶段再试验 ChangeFormer、BIT 或同类变化检测模型，识别两期影像间的变化区域。变化模型应使用配准良好的两期数据，并保留传感器、季节和影像质量信息。</w:t>
      </w:r>
    </w:p>
    <w:p>
      <w:pPr>
        <w:pStyle w:val="Heading2"/>
      </w:pPr>
      <w:r>
        <w:t>6.4 模块 D：跨矿区泛化</w:t>
      </w:r>
    </w:p>
    <w:p>
      <w:pPr>
        <w:pStyle w:val="ListNumber"/>
        <w:spacing w:after="40"/>
      </w:pPr>
      <w:r>
        <w:t>空间隔离划分：相邻切片不得随机分散到训练集和测试集，避免空间泄漏。</w:t>
      </w:r>
    </w:p>
    <w:p>
      <w:pPr>
        <w:pStyle w:val="ListNumber"/>
        <w:spacing w:after="40"/>
      </w:pPr>
      <w:r>
        <w:t>跨矿区留一验证：两个矿区训练、第三个矿区独立测试；轮换完成三组实验。</w:t>
      </w:r>
    </w:p>
    <w:p>
      <w:pPr>
        <w:pStyle w:val="ListNumber"/>
        <w:spacing w:after="40"/>
      </w:pPr>
      <w:r>
        <w:t>跨年份验证：保留关键年份或后期年份，检验模型对新时相的稳定性。</w:t>
      </w:r>
    </w:p>
    <w:p>
      <w:pPr>
        <w:pStyle w:val="ListNumber"/>
        <w:spacing w:after="40"/>
      </w:pPr>
      <w:r>
        <w:t>跨传感器验证：将不同卫星分别评估，必要时进行辐射归一化或传感器分组训练。</w:t>
      </w:r>
    </w:p>
    <w:p>
      <w:pPr>
        <w:pStyle w:val="ListNumber"/>
        <w:spacing w:after="40"/>
      </w:pPr>
      <w:r>
        <w:t>难例复核：集中检查天然裸地、阴影、湿地、矿山道路、尾矿设施和复绿地误判。</w:t>
      </w:r>
    </w:p>
    <w:p>
      <w:pPr>
        <w:pStyle w:val="Heading2"/>
      </w:pPr>
      <w:r>
        <w:t>6.5 模型评价指标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层面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建议指标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分类精度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每类 IoU、Precision、Recall、F1、混淆矩阵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识别类别错误和类别不平衡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边界质量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Boundary F1、边界偏移、面积相对误差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评估采坑和堆场边界是否适合面积统计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变化检测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变化区 Precision/Recall/F1、漏检率、误报率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评估新增扰动和复绿识别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跨域泛化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按矿区、年份、传感器分组报告各项指标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避免总体指标掩盖单一矿区失效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业务可用性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面积误差、人工修订工时、稳定性抽查结果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判断能否用于年度监测生产流程</w:t>
            </w:r>
          </w:p>
        </w:tc>
      </w:tr>
    </w:tbl>
    <w:p/>
    <w:p>
      <w:pPr>
        <w:spacing w:after="80"/>
      </w:pPr>
      <w:r>
        <w:t>建议在项目启动时设置内部验收目标，例如关键类别 IoU、面积误差阈值和边界偏移阈值；这些阈值应在试验样区上验证后再确定，不能在未训练、未测试前承诺固定精度。</w:t>
      </w:r>
    </w:p>
    <w:p>
      <w:pPr>
        <w:pStyle w:val="Heading1"/>
      </w:pPr>
      <w:r>
        <w:t>七、生态环境与水土流失风险分析</w:t>
      </w:r>
    </w:p>
    <w:p>
      <w:pPr>
        <w:pStyle w:val="Heading2"/>
      </w:pPr>
      <w:r>
        <w:t>7.1 植被破坏与恢复</w:t>
      </w:r>
    </w:p>
    <w:p>
      <w:pPr>
        <w:pStyle w:val="ListBullet"/>
        <w:spacing w:after="40"/>
      </w:pPr>
      <w:r>
        <w:t>使用多光谱 NIR 数据计算 NDVI，并根据影像质量、季节和地表类型建立可比时间序列。</w:t>
      </w:r>
    </w:p>
    <w:p>
      <w:pPr>
        <w:pStyle w:val="ListBullet"/>
        <w:spacing w:after="40"/>
      </w:pPr>
      <w:r>
        <w:t>联合植被分类图与 NDVI 变化识别持续植被损失、短期季节变化和持续复绿区域。</w:t>
      </w:r>
    </w:p>
    <w:p>
      <w:pPr>
        <w:pStyle w:val="ListBullet"/>
        <w:spacing w:after="40"/>
      </w:pPr>
      <w:r>
        <w:t>优先采用同季节对比或多景合成，避免将干旱季节与雨季差异直接解释为生态破坏。</w:t>
      </w:r>
    </w:p>
    <w:p>
      <w:pPr>
        <w:pStyle w:val="ListBullet"/>
        <w:spacing w:after="40"/>
      </w:pPr>
      <w:r>
        <w:t>将矿区内部、矿区周边缓冲区和地形/土地覆盖相似的对照区分开统计。</w:t>
      </w:r>
    </w:p>
    <w:p>
      <w:pPr>
        <w:pStyle w:val="ListBullet"/>
        <w:spacing w:after="40"/>
      </w:pPr>
      <w:r>
        <w:t>“复绿”应定义为持续多期的植被信号恢复；“生态修复成功”还需现场资料、修复目标和地表稳定性证据。</w:t>
      </w:r>
    </w:p>
    <w:p>
      <w:pPr>
        <w:pStyle w:val="Heading2"/>
      </w:pPr>
      <w:r>
        <w:t>7.2 潜在水土流失风险</w:t>
      </w:r>
    </w:p>
    <w:p>
      <w:pPr>
        <w:spacing w:after="80"/>
      </w:pPr>
      <w:r>
        <w:t>建议将遥感结果定位为“潜在水土流失风险筛查”，而非仅凭卫星影像直接测定侵蚀量。可使用 DEM 计算坡度、坡长或汇流累积，结合降雨侵蚀力、土壤可蚀性、植被覆盖和水土保持措施构建 RUSLE 或简化风险分级模型。</w:t>
      </w:r>
    </w:p>
    <w:p>
      <w:pPr>
        <w:pStyle w:val="ListBullet"/>
        <w:spacing w:after="40"/>
      </w:pPr>
      <w:r>
        <w:t>重点核查排土场边坡、道路切坡、裸露坡面、沟谷汇流路径及排水设施附近区域。</w:t>
      </w:r>
    </w:p>
    <w:p>
      <w:pPr>
        <w:pStyle w:val="ListBullet"/>
        <w:spacing w:after="40"/>
      </w:pPr>
      <w:r>
        <w:t>结合降雨事件前后影像，识别裸地扩张、冲刷痕迹和水体/沉积物变化。</w:t>
      </w:r>
    </w:p>
    <w:p>
      <w:pPr>
        <w:pStyle w:val="ListBullet"/>
        <w:spacing w:after="40"/>
      </w:pPr>
      <w:r>
        <w:t>对风险较高的区域输出位置、面积、坡度、上游汇流条件和影像证据，供后续现场或工程核查。</w:t>
      </w:r>
    </w:p>
    <w:p>
      <w:pPr>
        <w:pStyle w:val="ListBullet"/>
        <w:spacing w:after="40"/>
      </w:pPr>
      <w:r>
        <w:t>没有土壤、降雨和管理措施数据时，只能输出相对风险等级，不应报告为实测侵蚀量。</w:t>
      </w:r>
    </w:p>
    <w:p>
      <w:pPr>
        <w:pStyle w:val="Heading1"/>
      </w:pPr>
      <w:r>
        <w:t>八、变化指标与计算口径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指标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计算/定义</w:t>
            </w:r>
          </w:p>
        </w:tc>
        <w:tc>
          <w:tcPr>
            <w:tcW w:type="dxa" w:w="41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注意事项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年度采坑面积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同一规则下采坑掩膜的面积总和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需统一投影、边界规则和最小制图单元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采坑扩张速率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(A₂ − A₁) / (t₂ − t₁)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单位可用 ha/年；负值可能代表边界修订或回填，需核查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排土场新增面积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本期排土场范围减去上期范围后的新增区域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须区分新堆置与类别重分类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矿区新增扰动面积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本期新增采坑、堆场、道路、设施及施工扰动的并集面积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类别之间应先消除重叠，避免重复计算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植被损失面积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基准期植被转为扰动/裸地且通过多期或辅助证据确认的面积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排除季节性变化和云影影响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持续复绿面积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此前扰动区在连续多期重新出现稳定植被信号的面积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不能直接等同于生态修复达标面积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侵蚀风险等级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结合坡度、汇流、降雨、土壤与植被覆盖形成的相对分级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参数和数据源必须记录，输出不确定性</w:t>
            </w:r>
          </w:p>
        </w:tc>
      </w:tr>
    </w:tbl>
    <w:p/>
    <w:p>
      <w:pPr>
        <w:pStyle w:val="Heading1"/>
      </w:pPr>
      <w:r>
        <w:t>九、实施计划与里程碑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阶段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计划时间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主要任务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阶段交付物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1. 可行性核查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第 1—2 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矿区状态、权益、矿界、影像目录和授权核查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候选矿区核查表、影像目录、采购清单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2. 试验区与样本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第 3—5 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统一标注规范、配准、切片、人工标注与 SAM2 辅助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标注手册、首批训练/验证样本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3. 模型基线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第 6—9 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Mask2Former/SegFormer 训练、验证、跨矿区实验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模型权重、精度报告、错误样例集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4. 历史重建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第 10—12 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处理 2020—2026 年可用影像、分类和 GIS 叠加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年度分类图、采坑/排土场边界和统计表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5. 环境分析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第 13—15 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NDVI、植被损失/恢复、地形和降雨风险分析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生态变化图、潜在侵蚀风险图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6. 综合评估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第 16 周起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跨矿区对比、质量抽查、报告和流程固化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综合报告、数据库、程序、模型与验收记录</w:t>
            </w:r>
          </w:p>
        </w:tc>
      </w:tr>
    </w:tbl>
    <w:p/>
    <w:p>
      <w:pPr>
        <w:spacing w:after="80"/>
      </w:pPr>
      <w:r>
        <w:t>以上为理想条件下的初步工期。商业影像授权、历史档案完整性、人工标注数量、算力与跨境数据流程都可能影响进度。建议设置阶段闸门：矿区和影像核查未通过前，不进入大规模采购；试验模型未达到内部验收要求前，不批量生产年度分类图。</w:t>
      </w:r>
    </w:p>
    <w:p>
      <w:pPr>
        <w:pStyle w:val="Heading1"/>
      </w:pPr>
      <w:r>
        <w:t>十、质量控制、风险与合规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风险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影响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控制措施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矿区边界不准确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把矿权范围误当成实际采坑，导致面积夸大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分别管理矿权、设施和扰动边界；注明来源和日期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历史影像缺失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年度时序断裂或无法比较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先查档案再采购；以 Sentinel-1/2 补充并标明尺度差异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季节/传感器差异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把色彩或植被季节变化误判为新增扰动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同期对比、辐射归一化、元数据分组和人工复核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模型跨矿区失效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在新矿区出现大量误检/漏检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留一矿区验证、难例补标和跨域测试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地物类别混淆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裸地、尾矿、废石堆和天然裸岩混淆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制定判读规则、类别置信度与人工审核流程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生态结论过度解释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把 NDVI 变化直接等同于污染或修复成功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使用多源证据；明确遥感可观测量和不可直接推断项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商业影像许可限制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训练、发布或跨境处理不符合许可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采购前书面确认模型训练、成果发表、长期存档和跨境使用权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现场安全与数据安全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现场核查和资料管理风险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遵守当地法规、矿区访问要求和数据管理规范</w:t>
            </w:r>
          </w:p>
        </w:tc>
      </w:tr>
    </w:tbl>
    <w:p/>
    <w:p>
      <w:pPr>
        <w:pStyle w:val="Heading1"/>
      </w:pPr>
      <w:r>
        <w:t>十一、预算结构与采购决策</w:t>
      </w:r>
    </w:p>
    <w:p>
      <w:pPr>
        <w:spacing w:after="80"/>
      </w:pPr>
      <w:r>
        <w:t>当前没有实际供应商报价、矿区精确面积和已拥有影像清单，因此不宜编造总金额。建议按以下科目询价并形成三档预算。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预算科目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计价依据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建议控制方式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商业影像采购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影像面积、分辨率、历史档案/新拍、处理等级、授权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先查库存与 quicklook；优先购买关键年份和关键区域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影像预处理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正射、配准、辐射处理、拼接、裁剪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核查已有产品级别，避免重复购买处理服务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标注与质检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切片数、类别复杂度、标注面积、审核比例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用 SAM2 辅助但保留人工复核；对关键类别加密审核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算力与存储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GPU 时长、数据体量、备份和传输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先用试验集评估模型和存储成本，再扩展全时序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模型开发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训练实验、跨矿区测试、部署和维护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采用可复用基线和阶段验收，控制重复实验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地面/外部验证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可达性、许可、现场服务或第三方资料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海外矿区优先使用公开监管资料与可验证影像；现场工作另行审批</w:t>
            </w:r>
          </w:p>
        </w:tc>
      </w:tr>
    </w:tbl>
    <w:p/>
    <w:p>
      <w:pPr>
        <w:pStyle w:val="Heading2"/>
      </w:pPr>
      <w:r>
        <w:t>11.1 采购决策门槛</w:t>
      </w:r>
    </w:p>
    <w:p>
      <w:pPr>
        <w:pStyle w:val="ListNumber"/>
        <w:spacing w:after="40"/>
      </w:pPr>
      <w:r>
        <w:t>每个核心矿区至少确认多个年份的有效高分影像，并建立免费时序补充方案。</w:t>
      </w:r>
    </w:p>
    <w:p>
      <w:pPr>
        <w:pStyle w:val="ListNumber"/>
        <w:spacing w:after="40"/>
      </w:pPr>
      <w:r>
        <w:t>核心采坑和排土场在影像中应具备可辨识边界；如果影像角度、阴影或分辨率不满足要求，应先调整样区或产品。</w:t>
      </w:r>
    </w:p>
    <w:p>
      <w:pPr>
        <w:pStyle w:val="ListNumber"/>
        <w:spacing w:after="40"/>
      </w:pPr>
      <w:r>
        <w:t>购买前确认授权范围允许训练、推理、发表和长期存档。</w:t>
      </w:r>
    </w:p>
    <w:p>
      <w:pPr>
        <w:pStyle w:val="ListNumber"/>
        <w:spacing w:after="40"/>
      </w:pPr>
      <w:r>
        <w:t>先购买小范围试验影像或使用已有影像完成端到端测试，再扩大采购。</w:t>
      </w:r>
    </w:p>
    <w:p>
      <w:pPr>
        <w:pStyle w:val="ListNumber"/>
        <w:spacing w:after="40"/>
      </w:pPr>
      <w:r>
        <w:t>如某矿区档案连续性明显差于其他矿区，优先替换样区，而不是以低质量影像填补年度表。</w:t>
      </w:r>
    </w:p>
    <w:p>
      <w:pPr>
        <w:pStyle w:val="Heading1"/>
      </w:pPr>
      <w:r>
        <w:t>十二、建议交付成果与验收标准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成果包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内容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验收要点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A. 矿区基础库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矿山位置、矿权/项目边界、设施边界、来源与日期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边界来源可追溯，权益/运营属性表述准确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B. 影像档案库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2020—2026 年影像清单、元数据、授权和处理记录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每景影像可追溯，缺失年份明确标识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C. 地物分割模型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模型配置、权重、训练日志、推理脚本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独立测试集结果可复现，各类指标完整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D. 年度变化数据库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采坑、排土场、设施、植被和扰动年度图层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统一投影、面积单位、类别编码和质量字段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E. 环境评价成果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植被变化、持续复绿、潜在侵蚀风险图和统计表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结论与证据等级一致，不将风险筛查写成实测量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F. 综合报告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方法、数据、精度、变化结果、限制和建议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数据来源、假设、误差和不确定性完整披露</w:t>
            </w:r>
          </w:p>
        </w:tc>
      </w:tr>
    </w:tbl>
    <w:p/>
    <w:p>
      <w:pPr>
        <w:spacing w:after="80"/>
      </w:pPr>
      <w:r>
        <w:t>精度验收阈值应在首批试验区完成后制定。例如，可对采坑与排土场设定更严格的边界偏移和面积误差要求，对植被类重点考核分类精度与时序稳定性。最终阈值应结合影像分辨率、人工标注一致性和业务用途确定。</w:t>
      </w:r>
    </w:p>
    <w:p>
      <w:pPr>
        <w:pStyle w:val="Heading1"/>
      </w:pPr>
      <w:r>
        <w:t>十三、当前结论与立即执行清单</w:t>
      </w:r>
    </w:p>
    <w:p>
      <w:pPr>
        <w:pStyle w:val="Heading2"/>
      </w:pPr>
      <w:r>
        <w:t>13.1 当前结论</w:t>
      </w:r>
    </w:p>
    <w:p>
      <w:pPr>
        <w:pStyle w:val="ListBullet"/>
        <w:spacing w:after="40"/>
      </w:pPr>
      <w:r>
        <w:t>核心样区先定为 Goulamina、Mount Marion、Pilgangoora；宁都河源通过实际开采与影像核查后再纳入。</w:t>
      </w:r>
    </w:p>
    <w:p>
      <w:pPr>
        <w:pStyle w:val="ListBullet"/>
        <w:spacing w:after="40"/>
      </w:pPr>
      <w:r>
        <w:t>松树岗不应默认作为露天采坑样区；先确认采矿方式和项目阶段。</w:t>
      </w:r>
    </w:p>
    <w:p>
      <w:pPr>
        <w:pStyle w:val="ListBullet"/>
        <w:spacing w:after="40"/>
      </w:pPr>
      <w:r>
        <w:t>2020—2026 年亚米级影像需要逐年检索和逐景验收，不能假定每年都有可购且合格的影像。</w:t>
      </w:r>
    </w:p>
    <w:p>
      <w:pPr>
        <w:pStyle w:val="ListBullet"/>
        <w:spacing w:after="40"/>
      </w:pPr>
      <w:r>
        <w:t>推荐以 Mask2Former/SegFormer 做语义分割基线，SAM2 辅助标注，GIS 叠加先做可解释变化基线，再试验 ChangeFormer/BIT。</w:t>
      </w:r>
    </w:p>
    <w:p>
      <w:pPr>
        <w:pStyle w:val="ListBullet"/>
        <w:spacing w:after="40"/>
      </w:pPr>
      <w:r>
        <w:t>生态评价需要多光谱、DEM、降雨和地表覆盖数据；遥感指数不能单独证明污染、侵蚀量或修复成功。</w:t>
      </w:r>
    </w:p>
    <w:p>
      <w:pPr>
        <w:pStyle w:val="Heading2"/>
      </w:pPr>
      <w:r>
        <w:t>13.2 未来两周的具体任务</w:t>
      </w:r>
    </w:p>
    <w:p>
      <w:pPr>
        <w:pStyle w:val="ListNumber"/>
        <w:spacing w:after="40"/>
      </w:pPr>
      <w:r>
        <w:t>建立候选矿区核查表：运营主体、赣锋权益、项目阶段、矿权来源、实际采坑边界来源。</w:t>
      </w:r>
    </w:p>
    <w:p>
      <w:pPr>
        <w:pStyle w:val="ListNumber"/>
        <w:spacing w:after="40"/>
      </w:pPr>
      <w:r>
        <w:t>整理已有商业影像清单，并统一记录传感器、日期、分辨率、波段、云量、离轴角、覆盖范围和许可。</w:t>
      </w:r>
    </w:p>
    <w:p>
      <w:pPr>
        <w:pStyle w:val="ListNumber"/>
        <w:spacing w:after="40"/>
      </w:pPr>
      <w:r>
        <w:t>分别制作三个核心矿区的 quicklook 年度时间轴，找出缺失年份和关键变化时期。</w:t>
      </w:r>
    </w:p>
    <w:p>
      <w:pPr>
        <w:pStyle w:val="ListNumber"/>
        <w:spacing w:after="40"/>
      </w:pPr>
      <w:r>
        <w:t>选一个矿区、一个关键年份对完成从影像预处理、标注、模型推理到面积统计的端到端试验。</w:t>
      </w:r>
    </w:p>
    <w:p>
      <w:pPr>
        <w:pStyle w:val="ListNumber"/>
        <w:spacing w:after="40"/>
      </w:pPr>
      <w:r>
        <w:t>完成试验后再锁定年度采购数量、正式训练样本规模和模型验收阈值。</w:t>
      </w:r>
    </w:p>
    <w:p>
      <w:pPr>
        <w:pStyle w:val="Heading1"/>
      </w:pPr>
      <w:r>
        <w:t>附录 A：数据与来源核查入口</w:t>
      </w:r>
    </w:p>
    <w:p>
      <w:pPr>
        <w:pStyle w:val="ListBullet"/>
      </w:pPr>
      <w:r>
        <w:rPr>
          <w:b/>
        </w:rPr>
        <w:t xml:space="preserve">赣锋锂业官方网站：公司业务与全球布局 — </w:t>
      </w:r>
      <w:r>
        <w:t>https://www.ganfenglithium.com/about1.html</w:t>
        <w:br/>
        <w:t>公司资源布局和发展信息；项目具体权益、阶段仍需对应年度报告核对。</w:t>
      </w:r>
    </w:p>
    <w:p>
      <w:pPr>
        <w:pStyle w:val="ListBullet"/>
      </w:pPr>
      <w:r>
        <w:rPr>
          <w:b/>
        </w:rPr>
        <w:t xml:space="preserve">Mount Marion 官方运营方页面：Mineral Resources — </w:t>
      </w:r>
      <w:r>
        <w:t>https://www.mineralresources.com.au/our-business/lithium/mt-marion/</w:t>
        <w:br/>
        <w:t>记载矿山位置、合资关系、2016 年开始采矿、露天采坑、废石堆、尾矿设施等。</w:t>
      </w:r>
    </w:p>
    <w:p>
      <w:pPr>
        <w:pStyle w:val="ListBullet"/>
      </w:pPr>
      <w:r>
        <w:rPr>
          <w:b/>
        </w:rPr>
        <w:t xml:space="preserve">Mount Marion 2026 年扩建与地下开发公告 — </w:t>
      </w:r>
      <w:r>
        <w:t>https://www.mineralresources.com.au/news/company-updates/mt-marion-flotation-plant-and-underground-development-fid/</w:t>
        <w:br/>
        <w:t>说明 2026 年选矿设施升级和地下开采投资决策。</w:t>
      </w:r>
    </w:p>
    <w:p>
      <w:pPr>
        <w:pStyle w:val="ListBullet"/>
      </w:pPr>
      <w:r>
        <w:rPr>
          <w:b/>
        </w:rPr>
        <w:t xml:space="preserve">Pilgangoora 官方运营页面：PLS — </w:t>
      </w:r>
      <w:r>
        <w:t>https://www.pls.com/assets/pilgangoora-operation</w:t>
        <w:br/>
        <w:t>记载项目位置、2018 年首产及运营概况。</w:t>
      </w:r>
    </w:p>
    <w:p>
      <w:pPr>
        <w:pStyle w:val="ListBullet"/>
      </w:pPr>
      <w:r>
        <w:rPr>
          <w:b/>
        </w:rPr>
        <w:t xml:space="preserve">PLS 2025 年年度报告 — </w:t>
      </w:r>
      <w:r>
        <w:t>https://pls.com/wp-content/uploads/2025/08/2025AnnualReportincorporatingAppendix4E.pdf</w:t>
        <w:br/>
        <w:t>生产、运营与项目扩建信息。</w:t>
      </w:r>
    </w:p>
    <w:p>
      <w:pPr>
        <w:pStyle w:val="ListBullet"/>
      </w:pPr>
      <w:r>
        <w:rPr>
          <w:b/>
        </w:rPr>
        <w:t xml:space="preserve">ESA Pléiades Neo 数据目录 — </w:t>
      </w:r>
      <w:r>
        <w:t>https://eocat.eo.esa.int/eo-catalogue/collections/Pleiades.Neo.full.archive.and.tasking</w:t>
        <w:br/>
        <w:t>Pléiades Neo 全色与多光谱分辨率、档案与任务数据入口。</w:t>
      </w:r>
    </w:p>
    <w:p>
      <w:pPr>
        <w:pStyle w:val="ListBullet"/>
      </w:pPr>
      <w:r>
        <w:rPr>
          <w:b/>
        </w:rPr>
        <w:t xml:space="preserve">NASA CSDA：Airbus 商业遥感数据说明 — </w:t>
      </w:r>
      <w:r>
        <w:t>https://science.nasa.gov/earth-science/csda/vendor-airbus/</w:t>
        <w:br/>
        <w:t>Pléiades、Pléiades Neo、SPOT 的分辨率与数据特征。</w:t>
      </w:r>
    </w:p>
    <w:p>
      <w:pPr>
        <w:pStyle w:val="ListBullet"/>
      </w:pPr>
      <w:r>
        <w:rPr>
          <w:b/>
        </w:rPr>
        <w:t xml:space="preserve">USGS Pléiades Neo 传感器特性报告 — </w:t>
      </w:r>
      <w:r>
        <w:t>https://pubs.usgs.gov/publication/ofr20211030P</w:t>
        <w:br/>
        <w:t>传感器技术与特性参考。</w:t>
      </w:r>
    </w:p>
    <w:p>
      <w:pPr>
        <w:pStyle w:val="Heading1"/>
      </w:pPr>
      <w:r>
        <w:t>附录 B：建议影像清单字段模板</w:t>
      </w:r>
    </w:p>
    <w:p>
      <w:pPr>
        <w:spacing w:after="80"/>
      </w:pPr>
      <w:r>
        <w:t>site_id；site_name；country；acquisition_date；sensor；product_level；pan_resolution_m；ms_resolution_m；bands；cloud_pct；cloud_over_site_pct；off_nadir_deg；sun_elevation_deg；ortho_status；coverage_pct；license_training；license_publication；license_cross_border；price_quote；supplier；file_path；qc_status；notes。</w:t>
      </w:r>
    </w:p>
    <w:p>
      <w:pPr>
        <w:pStyle w:val="Heading1"/>
      </w:pPr>
      <w:r>
        <w:t>附录 C：建议变化统计字段</w:t>
      </w:r>
    </w:p>
    <w:p>
      <w:pPr>
        <w:spacing w:after="80"/>
      </w:pPr>
      <w:r>
        <w:t>site_id；date；sensor；class_id；class_name；area_ha；perimeter_m；new_area_ha；lost_area_ha；annual_change_ha；annual_change_rate；mean_ndvi；vegetation_loss_ha；persistent_recovery_ha；confidence_mean；manual_review；reviewer；source_image_id。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赣锋锂业硬岩锂矿遥感监测综合分析报告与实施方案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