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BA06B">
      <w:pPr>
        <w:pStyle w:val="15"/>
        <w:keepNext/>
        <w:widowControl w:val="1"/>
        <w:spacing w:before="160" w:after="240" w:line="288" w:lineRule="auto"/>
        <w:jc w:val="center"/>
        <w:autoSpaceDE w:val="0"/>
        <w:autoSpaceDN w:val="0"/>
      </w:pPr>
      <w:bookmarkStart w:id="0" w:name="皮肤病灶分割模型比较与自动提示级联实验"/>
      <w:r>
        <w:rPr>
          <w:sz w:val="42"/>
        </w:rPr>
        <w:t>皮肤病灶分割模型比较</w:t>
      </w:r>
      <w:r>
        <w:rPr>
          <w:sz w:val="42"/>
        </w:rPr>
        <w:br w:type="textWrapping"/>
      </w:r>
      <w:r>
        <w:rPr>
          <w:sz w:val="42"/>
        </w:rPr>
        <w:t>与自动提示级联实验</w:t>
      </w:r>
    </w:p>
    <w:p w14:paraId="27034315">
      <w:pPr>
        <w:pStyle w:val="23"/>
        <w:keepNext/>
        <w:keepLines/>
        <w:widowControl w:val="1"/>
        <w:spacing w:after="100" w:before="0" w:line="276" w:lineRule="auto"/>
        <w:ind w:firstLine="0"/>
        <w:jc w:val="center"/>
        <w:autoSpaceDE w:val="0"/>
        <w:autoSpaceDN w:val="0"/>
      </w:pPr>
      <w:r>
        <w:rPr>
          <w:rFonts w:hint="eastAsia"/>
          <w:sz w:val="24"/>
        </w:rPr>
        <w:t>姓名：王春博</w:t>
      </w:r>
      <w:r>
        <w:rPr>
          <w:sz w:val="24"/>
        </w:rPr>
        <w:t>　　</w:t>
      </w:r>
      <w:r>
        <w:rPr>
          <w:rFonts w:hint="eastAsia"/>
          <w:sz w:val="24"/>
        </w:rPr>
        <w:t>学号：202620000613</w:t>
      </w:r>
    </w:p>
    <w:p w14:paraId="1C724012">
      <w:pPr>
        <w:pStyle w:val="3"/>
        <w:keepNext/>
        <w:keepLines/>
        <w:widowControl w:val="1"/>
        <w:spacing w:after="100" w:before="0" w:line="276" w:lineRule="auto"/>
        <w:ind w:firstLine="0"/>
        <w:jc w:val="center"/>
        <w:autoSpaceDE w:val="0"/>
        <w:autoSpaceDN w:val="0"/>
      </w:pPr>
      <w:r>
        <w:rPr>
          <w:rFonts w:hint="eastAsia"/>
          <w:sz w:val="24"/>
        </w:rPr>
        <w:t>机器学习课程作业一与作业二</w:t>
      </w:r>
    </w:p>
    <w:p w14:paraId="0E8312A0">
      <w:pPr>
        <w:pStyle w:val="3"/>
        <w:keepNext/>
        <w:keepLines/>
        <w:widowControl w:val="1"/>
        <w:spacing w:after="100" w:before="0" w:line="276" w:lineRule="auto"/>
        <w:ind w:firstLine="0"/>
        <w:jc w:val="center"/>
        <w:autoSpaceDE w:val="0"/>
        <w:autoSpaceDN w:val="0"/>
      </w:pPr>
      <w:r>
        <w:rPr>
          <w:rFonts w:hint="eastAsia"/>
          <w:sz w:val="22"/>
        </w:rPr>
        <w:t>2026年10月29日</w:t>
      </w:r>
    </w:p>
    <w:p w14:paraId="77395AFF">
      <w:pPr>
        <w:pStyle w:val="2"/>
        <w:keepNext/>
        <w:keepLines/>
        <w:pageBreakBefore w:val="0"/>
        <w:widowControl w:val="1"/>
        <w:autoSpaceDE w:val="0"/>
        <w:autoSpaceDN w:val="0"/>
        <w:spacing w:before="280" w:after="100" w:line="276" w:lineRule="auto"/>
      </w:pPr>
      <w:r>
        <w:rPr>
          <w:rFonts w:hint="eastAsia"/>
        </w:rPr>
        <w:t>一</w:t>
      </w:r>
      <w:r>
        <w:t xml:space="preserve"> </w:t>
      </w:r>
      <w:r>
        <w:rPr>
          <w:rFonts w:hint="eastAsia"/>
        </w:rPr>
        <w:t>摘要</w:t>
      </w:r>
      <w:bookmarkStart w:id="2" w:name="section0"/>
      <w:bookmarkEnd w:id="2"/>
    </w:p>
    <w:p w14:paraId="70D93B0F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本报告围绕ISIC</w:t>
      </w:r>
      <w:r>
        <w:t xml:space="preserve"> </w:t>
      </w:r>
      <w:r>
        <w:rPr>
          <w:rFonts w:hint="eastAsia"/>
        </w:rPr>
        <w:t>2018皮肤病灶分割，完成课程作业一的卷积网络实现与作业二的Transformer复杂模型实验。采用2594张训练图像、100张验证图像和1000张测试图像，比较U-Net、ResUNet、Attention</w:t>
      </w:r>
      <w:r>
        <w:t xml:space="preserve"> </w:t>
      </w:r>
      <w:r>
        <w:rPr>
          <w:rFonts w:hint="eastAsia"/>
        </w:rPr>
        <w:t>U-Net及SAM三种适配阶段，并以U-Net自动提框连接两项作业。卷积网络三种子Dice均值约为0.594—0.608，结构差异带来的收益有限；修复后E2在GT框下Dice为0.9181，E3自动框级联为0.7559，提示来源明显影响性能。实验进一步分析损失函数、输入尺度、门控位置和提示扰动，并展示相同测试样本的真实标签与预测。代码审查后修复缓存监督、完整权重恢复和续跑保存逻辑；问题实验已重新训练并完成全量复评，原结果单独归档。主要收获是结合失败样本、计算预算和提示条件解释指标，而非只依据最高分选择模型。</w:t>
      </w:r>
    </w:p>
    <w:p w14:paraId="367D0CFC">
      <w:pPr>
        <w:pStyle w:val="3"/>
        <w:keepNext w:val="0"/>
        <w:keepLines w:val="0"/>
        <w:widowControl w:val="1"/>
        <w:spacing w:line="324" w:lineRule="auto" w:before="0" w:after="100"/>
        <w:ind w:left="0" w:leftChars="0" w:firstLine="0" w:firstLineChars="0"/>
        <w:autoSpaceDE w:val="0"/>
        <w:autoSpaceDN w:val="0"/>
      </w:pPr>
      <w:r>
        <w:rPr>
          <w:rFonts w:hint="eastAsia"/>
        </w:rPr>
        <w:t>关键词：医学图像分割；U-Net；Transformer；SAM；LoRA；自动提示</w:t>
      </w:r>
    </w:p>
    <w:p w14:paraId="1C106DB6">
      <w:pPr>
        <w:pStyle w:val="2"/>
        <w:keepNext/>
        <w:keepLines/>
        <w:pageBreakBefore/>
        <w:widowControl w:val="1"/>
        <w:spacing w:before="180" w:after="100" w:line="276" w:lineRule="auto"/>
        <w:jc w:val="center"/>
        <w:autoSpaceDE w:val="0"/>
        <w:autoSpaceDN w:val="0"/>
      </w:pPr>
      <w:bookmarkStart w:id="1" w:name="一-摘要"/>
      <w:r>
        <w:t>目　录</w:t>
      </w:r>
    </w:p>
    <w:p w14:paraId="3B8D1C92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"section0" \h </w:instrText>
      </w:r>
      <w:r>
        <w:fldChar w:fldCharType="separate"/>
      </w:r>
      <w:r>
        <w:t>一 摘要</w:t>
      </w:r>
      <w:r>
        <w:fldChar w:fldCharType="end"/>
      </w:r>
      <w:r>
        <w:tab/>
      </w:r>
      <w:r>
        <w:t>1</w:t>
      </w:r>
    </w:p>
    <w:p w14:paraId="20C690FD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"section1" \h </w:instrText>
      </w:r>
      <w:r>
        <w:fldChar w:fldCharType="separate"/>
      </w:r>
      <w:r>
        <w:t>二 引言</w:t>
      </w:r>
      <w:r>
        <w:fldChar w:fldCharType="end"/>
      </w:r>
      <w:r>
        <w:tab/>
      </w:r>
      <w:r>
        <w:t>3</w:t>
      </w:r>
    </w:p>
    <w:p w14:paraId="3247A4F3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"section2" \h </w:instrText>
      </w:r>
      <w:r>
        <w:fldChar w:fldCharType="separate"/>
      </w:r>
      <w:r>
        <w:t>三 实验模型原理介绍</w:t>
      </w:r>
      <w:r>
        <w:fldChar w:fldCharType="end"/>
      </w:r>
      <w:r>
        <w:tab/>
      </w:r>
      <w:r>
        <w:t>3</w:t>
      </w:r>
    </w:p>
    <w:p w14:paraId="48BF4005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"section3" \h </w:instrText>
      </w:r>
      <w:r>
        <w:fldChar w:fldCharType="separate"/>
      </w:r>
      <w:r>
        <w:t>四 实验设计</w:t>
      </w:r>
      <w:r>
        <w:fldChar w:fldCharType="end"/>
      </w:r>
      <w:r>
        <w:tab/>
      </w:r>
      <w:r>
        <w:t>10</w:t>
      </w:r>
    </w:p>
    <w:p w14:paraId="155DBF5D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"section4" \h </w:instrText>
      </w:r>
      <w:r>
        <w:fldChar w:fldCharType="separate"/>
      </w:r>
      <w:r>
        <w:t>五 实验结果分析</w:t>
      </w:r>
      <w:r>
        <w:fldChar w:fldCharType="end"/>
      </w:r>
      <w:r>
        <w:tab/>
      </w:r>
      <w:r>
        <w:t>12</w:t>
      </w:r>
    </w:p>
    <w:p w14:paraId="3EE01AF6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"section5" \h </w:instrText>
      </w:r>
      <w:r>
        <w:fldChar w:fldCharType="separate"/>
      </w:r>
      <w:r>
        <w:t>六 报告总结</w:t>
      </w:r>
      <w:r>
        <w:fldChar w:fldCharType="end"/>
      </w:r>
      <w:r>
        <w:tab/>
      </w:r>
      <w:r>
        <w:t>16</w:t>
      </w:r>
    </w:p>
    <w:p w14:paraId="376506A6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"section6" \h </w:instrText>
      </w:r>
      <w:r>
        <w:fldChar w:fldCharType="separate"/>
      </w:r>
      <w:r>
        <w:t>参考文献</w:t>
      </w:r>
      <w:r>
        <w:fldChar w:fldCharType="end"/>
      </w:r>
      <w:r>
        <w:tab/>
      </w:r>
      <w:r>
        <w:t>17</w:t>
      </w:r>
    </w:p>
    <w:p w14:paraId="18406A1D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"section7" \h </w:instrText>
      </w:r>
      <w:r>
        <w:fldChar w:fldCharType="separate"/>
      </w:r>
      <w:r>
        <w:t>附录A完整实验数据</w:t>
      </w:r>
      <w:r>
        <w:fldChar w:fldCharType="end"/>
      </w:r>
      <w:r>
        <w:tab/>
      </w:r>
      <w:r>
        <w:t>18</w:t>
      </w:r>
    </w:p>
    <w:p w14:paraId="35B8A20B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"section8" \h </w:instrText>
      </w:r>
      <w:r>
        <w:fldChar w:fldCharType="separate"/>
      </w:r>
      <w:r>
        <w:t>附录B修复验证与快速复现</w:t>
      </w:r>
      <w:r>
        <w:fldChar w:fldCharType="end"/>
      </w:r>
      <w:r>
        <w:tab/>
      </w:r>
      <w:r>
        <w:t>23</w:t>
      </w:r>
    </w:p>
    <w:p w14:paraId="34DCFAC2">
      <w:pPr>
        <w:keepNext w:val="0"/>
        <w:keepLines/>
        <w:pageBreakBefore w:val="0"/>
        <w:widowControl w:val="1"/>
        <w:tabs>
          <w:tab w:val="right" w:leader="dot" w:pos="9071"/>
        </w:tabs>
        <w:spacing w:after="200" w:line="300" w:lineRule="auto" w:before="0"/>
        <w:ind w:firstLine="0"/>
        <w:autoSpaceDE w:val="0"/>
        <w:autoSpaceDN w:val="0"/>
      </w:pPr>
      <w:r>
        <w:fldChar w:fldCharType="begin"/>
      </w:r>
      <w:r>
        <w:instrText xml:space="preserve"> HYPERLINK \l "section9" \h </w:instrText>
      </w:r>
      <w:r>
        <w:fldChar w:fldCharType="separate"/>
      </w:r>
      <w:r>
        <w:t>附录C实际前端与电子图录</w:t>
      </w:r>
      <w:r>
        <w:fldChar w:fldCharType="end"/>
      </w:r>
      <w:r>
        <w:tab/>
      </w:r>
      <w:r>
        <w:t>24</w:t>
      </w:r>
    </w:p>
    <w:bookmarkEnd w:id="1"/>
    <w:p w14:paraId="2202D967">
      <w:pPr>
        <w:pStyle w:val="2"/>
        <w:keepNext/>
        <w:keepLines/>
        <w:pageBreakBefore/>
        <w:widowControl w:val="1"/>
        <w:autoSpaceDE w:val="0"/>
        <w:autoSpaceDN w:val="0"/>
        <w:spacing w:before="180" w:after="100" w:line="276" w:lineRule="auto"/>
      </w:pPr>
      <w:bookmarkStart w:id="3" w:name="二-引言"/>
      <w:r>
        <w:rPr>
          <w:rFonts w:hint="eastAsia"/>
        </w:rPr>
        <w:t>二</w:t>
      </w:r>
      <w:r>
        <w:t xml:space="preserve"> </w:t>
      </w:r>
      <w:r>
        <w:rPr>
          <w:rFonts w:hint="eastAsia"/>
        </w:rPr>
        <w:t>引言</w:t>
      </w:r>
      <w:bookmarkStart w:id="4" w:name="section1"/>
      <w:bookmarkEnd w:id="4"/>
    </w:p>
    <w:p w14:paraId="0637F48B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皮肤镜图像中毛发、低对比度边缘和病灶尺度差异，使前景覆盖与边界贴合难以同时改善。课程作业一允许基于皮肤癌数据实现医学图像分割；本项目选择手写U-Net及其残差和注意力变体，以相同数据和评价口径比较结构。作业二要求至少使用一处Transformer，并建议学习SAM和提示工程，因此在同一任务上引入SAM</w:t>
      </w:r>
      <w:r>
        <w:t xml:space="preserve"> </w:t>
      </w:r>
      <w:r>
        <w:rPr>
          <w:rFonts w:hint="eastAsia"/>
        </w:rPr>
        <w:t>ViT-B，研究预训练模型的零样本、局部微调与低秩适配。</w:t>
      </w:r>
    </w:p>
    <w:p w14:paraId="3B53E7C2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U-Net以跳跃连接融合定位信息与深层语义</w:t>
      </w:r>
      <w:r>
        <w:fldChar w:fldCharType="begin"/>
      </w:r>
      <w:r>
        <w:instrText xml:space="preserve"> HYPERLINK \l "ref-1" \h </w:instrText>
      </w:r>
      <w:r>
        <w:fldChar w:fldCharType="separate"/>
      </w:r>
      <w:r>
        <w:rPr>
          <w:rStyle w:val="20"/>
          <w:color w:val="000000"/>
          <w:vertAlign w:val="superscript"/>
        </w:rPr>
        <w:t>[1]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，残差网络和空间门控分别改变块内信息流与跨层特征选择</w:t>
      </w:r>
      <w:r>
        <w:fldChar w:fldCharType="begin"/>
      </w:r>
      <w:r>
        <w:instrText xml:space="preserve"> HYPERLINK \l "ref-2" \h </w:instrText>
      </w:r>
      <w:r>
        <w:fldChar w:fldCharType="separate"/>
      </w:r>
      <w:r>
        <w:rPr>
          <w:rStyle w:val="20"/>
          <w:color w:val="000000"/>
          <w:vertAlign w:val="superscript"/>
        </w:rPr>
        <w:t>[2]⁠</w:t>
      </w:r>
      <w:r>
        <w:rPr>
          <w:rStyle w:val="20"/>
          <w:color w:val="000000"/>
          <w:vertAlign w:val="superscript"/>
        </w:rPr>
        <w:fldChar w:fldCharType="end"/>
      </w:r>
      <w:r>
        <w:fldChar w:fldCharType="begin"/>
      </w:r>
      <w:r>
        <w:instrText xml:space="preserve"> HYPERLINK \l "ref-3" \h </w:instrText>
      </w:r>
      <w:r>
        <w:fldChar w:fldCharType="separate"/>
      </w:r>
      <w:r>
        <w:rPr>
          <w:rStyle w:val="20"/>
          <w:color w:val="000000"/>
          <w:vertAlign w:val="superscript"/>
        </w:rPr>
        <w:t>[3]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。SAM通过图像编码、提示编码和掩膜解码实现可提示分割</w:t>
      </w:r>
      <w:r>
        <w:fldChar w:fldCharType="begin"/>
      </w:r>
      <w:r>
        <w:instrText xml:space="preserve"> HYPERLINK \l "ref-4" \h </w:instrText>
      </w:r>
      <w:r>
        <w:fldChar w:fldCharType="separate"/>
      </w:r>
      <w:r>
        <w:rPr>
          <w:rStyle w:val="20"/>
          <w:color w:val="000000"/>
          <w:vertAlign w:val="superscript"/>
        </w:rPr>
        <w:t>[4]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。本报告以ISIC</w:t>
      </w:r>
      <w:r>
        <w:t xml:space="preserve"> 2018 Task </w:t>
      </w:r>
      <w:r>
        <w:rPr>
          <w:rFonts w:hint="eastAsia"/>
        </w:rPr>
        <w:t>1为共同数据基础</w:t>
      </w:r>
      <w:r>
        <w:fldChar w:fldCharType="begin"/>
      </w:r>
      <w:r>
        <w:instrText xml:space="preserve"> HYPERLINK \l "ref-5" \h </w:instrText>
      </w:r>
      <w:r>
        <w:fldChar w:fldCharType="separate"/>
      </w:r>
      <w:r>
        <w:rPr>
          <w:rStyle w:val="20"/>
          <w:color w:val="000000"/>
          <w:vertAlign w:val="superscript"/>
        </w:rPr>
        <w:t>[5]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，关注三个问题：复杂结构能否稳定提升结果；超参数与提示条件怎样影响表现；自动提示能否把两个作业组成可运行系统。</w:t>
      </w:r>
    </w:p>
    <w:p w14:paraId="15AD2F63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报告按课程要求组织为摘要、引言、模型原理、实验设计、结果分析和总结。总体比较、超参数比较与测试案例分别见第五部分；个人观点在第六部分高亮。全部逐次运行数据集中于附录，源码与快速复现命令随包交付。</w:t>
      </w:r>
    </w:p>
    <w:bookmarkEnd w:id="3"/>
    <w:p w14:paraId="668854BD">
      <w:pPr>
        <w:pStyle w:val="2"/>
        <w:keepNext/>
        <w:keepLines/>
        <w:pageBreakBefore w:val="0"/>
        <w:widowControl w:val="1"/>
        <w:autoSpaceDE w:val="0"/>
        <w:autoSpaceDN w:val="0"/>
        <w:spacing w:before="180" w:after="100" w:line="276" w:lineRule="auto"/>
      </w:pPr>
      <w:bookmarkStart w:id="5" w:name="三-实验模型原理介绍"/>
      <w:r>
        <w:rPr>
          <w:rFonts w:hint="eastAsia"/>
        </w:rPr>
        <w:t>三</w:t>
      </w:r>
      <w:r>
        <w:t xml:space="preserve"> </w:t>
      </w:r>
      <w:r>
        <w:rPr>
          <w:rFonts w:hint="eastAsia"/>
        </w:rPr>
        <w:t>实验模型原理介绍</w:t>
      </w:r>
      <w:bookmarkStart w:id="6" w:name="section2"/>
      <w:bookmarkEnd w:id="6"/>
    </w:p>
    <w:p w14:paraId="78AC9E52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7" w:name="u-net-编码与解码"/>
      <w:r>
        <w:t xml:space="preserve">3.1 U-Net</w:t>
      </w:r>
      <w:r>
        <w:rPr>
          <w:rFonts w:hint="eastAsia"/>
        </w:rPr>
        <w:t>编码与解码</w:t>
      </w:r>
    </w:p>
    <w:p w14:paraId="6A1486AC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结构图展示本项目</w:t>
      </w:r>
      <w:r>
        <w:t>U-Net</w:t>
      </w:r>
      <w:r>
        <w:rPr>
          <w:rFonts w:hint="eastAsia"/>
        </w:rPr>
        <w:t>的实际数据流。其编码—解码与跳跃连接思想源于文献⁠</w:t>
      </w:r>
      <w:r>
        <w:fldChar w:fldCharType="begin"/>
      </w:r>
      <w:r>
        <w:instrText xml:space="preserve"> HYPERLINK \l "ref-1" \h </w:instrText>
      </w:r>
      <w:r>
        <w:fldChar w:fldCharType="separate"/>
      </w:r>
      <w:r>
        <w:rPr>
          <w:rStyle w:val="20"/>
          <w:color w:val="000000"/>
          <w:vertAlign w:val="superscript"/>
        </w:rPr>
        <w:t>[1]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。卷积通过局部感受野提取纹理与边缘，批归一化调整中间激活，ReLU</w:t>
      </w:r>
      <w:r>
        <w:t xml:space="preserve"/>
      </w:r>
      <w:r>
        <w:rPr>
          <w:rFonts w:hint="eastAsia"/>
        </w:rPr>
        <w:t>提供非线性。DoubleConv</w:t>
      </w:r>
      <w:r>
        <w:t xml:space="preserve"/>
      </w:r>
      <w:r>
        <w:rPr>
          <w:rFonts w:hint="eastAsia"/>
        </w:rPr>
        <w:t>由两次无偏置</w:t>
      </w:r>
      <w:r>
        <w:t xml:space="preserve">3×3</w:t>
      </w:r>
      <w:r>
        <w:rPr>
          <w:rFonts w:hint="eastAsia"/>
        </w:rPr>
        <w:t>卷积、BN</w:t>
      </w:r>
      <w:r>
        <w:t xml:space="preserve"/>
      </w:r>
      <w:r>
        <w:rPr>
          <w:rFonts w:hint="eastAsia"/>
        </w:rPr>
        <w:t>和</w:t>
      </w:r>
      <w:r>
        <w:t xml:space="preserve">ReLU</w:t>
      </w:r>
      <w:r>
        <w:rPr>
          <w:rFonts w:hint="eastAsia"/>
        </w:rPr>
        <w:t>组成，padding=1</w:t>
      </w:r>
      <w:r>
        <w:t xml:space="preserve"/>
      </w:r>
      <w:r>
        <w:rPr>
          <w:rFonts w:hint="eastAsia"/>
        </w:rPr>
        <w:t>保持空间尺寸。下采样块先进行</w:t>
      </w:r>
      <w:r>
        <w:t xml:space="preserve">2×2</w:t>
      </w:r>
      <w:r>
        <w:rPr>
          <w:rFonts w:hint="eastAsia"/>
        </w:rPr>
        <w:t>最大池化，再增加通道。深层特征覆盖更大的输入范围，代价是空间细节减少；解码侧逐级</w:t>
      </w:r>
      <w:bookmarkStart w:id="46" w:name="_GoBack"/>
      <w:bookmarkEnd w:id="46"/>
      <w:r>
        <w:rPr>
          <w:rFonts w:hint="eastAsia"/>
        </w:rPr>
        <w:t>上采样，与同尺度编码特征在通道维</w:t>
      </w:r>
      <w:r>
        <w:t xml:space="preserve"/>
      </w:r>
      <w:r>
        <w:rPr>
          <w:rFonts w:hint="eastAsia"/>
        </w:rPr>
        <w:t>concat，再进行卷积融合。</w:t>
      </w:r>
    </w:p>
    <w:p w14:paraId="00655185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默认</w:t>
      </w:r>
      <w:r>
        <w:t xml:space="preserve"/>
      </w:r>
      <w:r>
        <w:rPr>
          <w:rFonts w:hint="eastAsia"/>
        </w:rPr>
        <w:t>bilinear=True，实际使用双线性插值与</w:t>
      </w:r>
      <w:r>
        <w:t xml:space="preserve">1×1</w:t>
      </w:r>
      <w:r>
        <w:rPr>
          <w:rFonts w:hint="eastAsia"/>
        </w:rPr>
        <w:t>卷积，而非默认转置卷积。Up</w:t>
      </w:r>
      <w:r>
        <w:t xml:space="preserve"/>
      </w:r>
      <w:r>
        <w:rPr>
          <w:rFonts w:hint="eastAsia"/>
        </w:rPr>
        <w:t>在尺寸不齐时进行中心</w:t>
      </w:r>
      <w:r>
        <w:t xml:space="preserve"/>
      </w:r>
      <w:r>
        <w:rPr>
          <w:rFonts w:hint="eastAsia"/>
        </w:rPr>
        <w:t>padding；输出层仅有</w:t>
      </w:r>
      <w:r>
        <w:t xml:space="preserve">1×1</w:t>
      </w:r>
      <w:r>
        <w:rPr>
          <w:rFonts w:hint="eastAsia"/>
        </w:rPr>
        <w:t>卷积，把</w:t>
      </w:r>
      <w:r>
        <w:t xml:space="preserve">64</w:t>
      </w:r>
      <w:r>
        <w:rPr>
          <w:rFonts w:hint="eastAsia"/>
        </w:rPr>
        <w:t>通道变成单通道</w:t>
      </w:r>
      <w:r>
        <w:t xml:space="preserve">logits。sigmoid</w:t>
      </w:r>
      <w:r>
        <w:rPr>
          <w:rFonts w:hint="eastAsia"/>
        </w:rPr>
        <w:t>在损失或评测时执行，网络末端没有</w:t>
      </w:r>
      <w:r>
        <w:t xml:space="preserve">softmax。</w:t>
      </w:r>
    </w:p>
    <w:p w14:paraId="0C940DD3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436000" cy="3533699"/>
            <wp:effectExtent l="0" t="0" r="0" b="0"/>
            <wp:docPr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336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85582">
      <w:pPr>
        <w:pStyle w:val="3"/>
        <w:keepNext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</w:t>
      </w:r>
      <w:r>
        <w:rPr>
          <w:rFonts w:ascii="Times New Roman" w:hAnsi="Times New Roman" w:eastAsia="Songti SC"/>
          <w:color w:val="000000"/>
          <w:sz w:val="21"/>
        </w:rPr>
        <w:t xml:space="preserve">　U-Net</w:t>
      </w:r>
      <w:r>
        <w:rPr>
          <w:rFonts w:hint="eastAsia" w:ascii="Times New Roman" w:hAnsi="Times New Roman" w:eastAsia="Songti SC"/>
          <w:color w:val="000000"/>
          <w:sz w:val="21"/>
        </w:rPr>
        <w:t>编码与解码结构</w:t>
      </w:r>
    </w:p>
    <w:p w14:paraId="7981DD7C">
      <w:pPr>
        <w:pStyle w:val="3"/>
        <w:keepNext w:val="0"/>
        <w:keepLines/>
        <w:widowControl w:val="1"/>
        <w:spacing w:after="100" w:line="264" w:lineRule="auto" w:before="0"/>
        <w:ind w:firstLine="0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18"/>
        </w:rPr>
        <w:t>注：依据实际模型源码绘制；蓝色为编码路径，绿色为解码路径，橙色为瓶颈或门控。</w:t>
      </w:r>
    </w:p>
    <w:bookmarkEnd w:id="7"/>
    <w:p w14:paraId="62381DB1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8" w:name="resunet-残差学习"/>
      <w:r>
        <w:t xml:space="preserve">3.2 ResUNet</w:t>
      </w:r>
      <w:r>
        <w:rPr>
          <w:rFonts w:hint="eastAsia"/>
        </w:rPr>
        <w:t>残差学习</w:t>
      </w:r>
    </w:p>
    <w:p w14:paraId="138E065F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结构图展示残差块与跨层拼接在本实现中的不同位置。参考残差</w:t>
      </w:r>
      <w:r>
        <w:t xml:space="preserve">U-Net</w:t>
      </w:r>
      <w:r>
        <w:rPr>
          <w:rFonts w:hint="eastAsia"/>
        </w:rPr>
        <w:t>的组合思路⁠</w:t>
      </w:r>
      <w:r>
        <w:fldChar w:fldCharType="begin"/>
      </w:r>
      <w:r>
        <w:instrText xml:space="preserve"> HYPERLINK \l "ref-2" \h </w:instrText>
      </w:r>
      <w:r>
        <w:fldChar w:fldCharType="separate"/>
      </w:r>
      <w:r>
        <w:rPr>
          <w:rStyle w:val="20"/>
          <w:color w:val="000000"/>
          <w:vertAlign w:val="superscript"/>
        </w:rPr>
        <w:t>[2]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，残差块输出为</w:t>
      </w:r>
      <w:r>
        <w:t xml:space="preserve">ReLU(F(x)+S(x))。F</w:t>
      </w:r>
      <w:r>
        <w:rPr>
          <w:rFonts w:hint="eastAsia"/>
        </w:rPr>
        <w:t>包含两次卷积和</w:t>
      </w:r>
      <w:r>
        <w:t xml:space="preserve"/>
      </w:r>
      <w:r>
        <w:rPr>
          <w:rFonts w:hint="eastAsia"/>
        </w:rPr>
        <w:t>BN；当通道数或空间步长变化时，S</w:t>
      </w:r>
      <w:r>
        <w:t xml:space="preserve"/>
      </w:r>
      <w:r>
        <w:rPr>
          <w:rFonts w:hint="eastAsia"/>
        </w:rPr>
        <w:t>使用</w:t>
      </w:r>
      <w:r>
        <w:t xml:space="preserve">1×1</w:t>
      </w:r>
      <w:r>
        <w:rPr>
          <w:rFonts w:hint="eastAsia"/>
        </w:rPr>
        <w:t>卷积与</w:t>
      </w:r>
      <w:r>
        <w:t xml:space="preserve">BN</w:t>
      </w:r>
      <w:r>
        <w:rPr>
          <w:rFonts w:hint="eastAsia"/>
        </w:rPr>
        <w:t>对齐，否则为恒等映射。加法发生在块内部；编码器和解码器间仍然</w:t>
      </w:r>
      <w:r>
        <w:t xml:space="preserve"/>
      </w:r>
      <w:r>
        <w:rPr>
          <w:rFonts w:hint="eastAsia"/>
        </w:rPr>
        <w:t>concat，不能将这两类连接混为一谈。</w:t>
      </w:r>
    </w:p>
    <w:p w14:paraId="7ABE85DF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t xml:space="preserve">ResUNet</w:t>
      </w:r>
      <w:r>
        <w:rPr>
          <w:rFonts w:hint="eastAsia"/>
        </w:rPr>
        <w:t>的下采样采用</w:t>
      </w:r>
      <w:r>
        <w:t xml:space="preserve">stride=2</w:t>
      </w:r>
      <w:r>
        <w:rPr>
          <w:rFonts w:hint="eastAsia"/>
        </w:rPr>
        <w:t>的残差卷积，解码仍采用双线性插值、1×1</w:t>
      </w:r>
      <w:r>
        <w:t xml:space="preserve"/>
      </w:r>
      <w:r>
        <w:rPr>
          <w:rFonts w:hint="eastAsia"/>
        </w:rPr>
        <w:t>卷积与残差块。因此本实验同时改变了块结构和下采样方式，不能把结果全部归因于某一条残差通路。残差形式使梯度存在较直接的传播路径，但是否改善本任务收敛，仍需依据训练过程判断。</w:t>
      </w:r>
    </w:p>
    <w:p w14:paraId="73942EC6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436000" cy="3533699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336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52535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图2</w:t>
      </w:r>
      <w:r>
        <w:rPr>
          <w:rFonts w:ascii="Times New Roman" w:hAnsi="Times New Roman" w:eastAsia="Songti SC"/>
          <w:color w:val="000000"/>
          <w:sz w:val="21"/>
        </w:rPr>
        <w:t xml:space="preserve">　ResUNet</w:t>
      </w:r>
      <w:r>
        <w:rPr>
          <w:rFonts w:hint="eastAsia" w:ascii="Times New Roman" w:hAnsi="Times New Roman" w:eastAsia="Songti SC"/>
          <w:color w:val="000000"/>
          <w:sz w:val="21"/>
        </w:rPr>
        <w:t>残差编码与解码结构</w:t>
      </w:r>
    </w:p>
    <w:bookmarkEnd w:id="8"/>
    <w:p w14:paraId="3CFCB103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9" w:name="attention-u-net-空间门控"/>
      <w:r>
        <w:t xml:space="preserve">3.3 Attention U-Net</w:t>
      </w:r>
      <w:r>
        <w:rPr>
          <w:rFonts w:hint="eastAsia"/>
        </w:rPr>
        <w:t>空间门控</w:t>
      </w:r>
    </w:p>
    <w:p w14:paraId="30F3B3EE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结构图展示四个跳跃层上的门控位置。参考</w:t>
      </w:r>
      <w:r>
        <w:t xml:space="preserve">Attention U-Net</w:t>
      </w:r>
      <w:r>
        <w:rPr>
          <w:rFonts w:hint="eastAsia"/>
        </w:rPr>
        <w:t>的空间筛选机制⁠</w:t>
      </w:r>
      <w:r>
        <w:fldChar w:fldCharType="begin"/>
      </w:r>
      <w:r>
        <w:instrText xml:space="preserve"> HYPERLINK \l "ref-3" \h </w:instrText>
      </w:r>
      <w:r>
        <w:fldChar w:fldCharType="separate"/>
      </w:r>
      <w:r>
        <w:rPr>
          <w:rStyle w:val="20"/>
          <w:color w:val="000000"/>
          <w:vertAlign w:val="superscript"/>
        </w:rPr>
        <w:t>[3]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，注意力门接收编码特征</w:t>
      </w:r>
      <w:r>
        <w:t xml:space="preserve">x</w:t>
      </w:r>
      <w:r>
        <w:rPr>
          <w:rFonts w:hint="eastAsia"/>
        </w:rPr>
        <w:t>与更深层解码特征</w:t>
      </w:r>
      <w:r>
        <w:t xml:space="preserve"/>
      </w:r>
      <w:r>
        <w:rPr>
          <w:rFonts w:hint="eastAsia"/>
        </w:rPr>
        <w:t>g；先将</w:t>
      </w:r>
      <w:r>
        <w:t xml:space="preserve">g</w:t>
      </w:r>
      <w:r>
        <w:rPr>
          <w:rFonts w:hint="eastAsia"/>
        </w:rPr>
        <w:t>双线性插值到</w:t>
      </w:r>
      <w:r>
        <w:t xml:space="preserve">x</w:t>
      </w:r>
      <w:r>
        <w:rPr>
          <w:rFonts w:hint="eastAsia"/>
        </w:rPr>
        <w:t>的尺度，用两个</w:t>
      </w:r>
      <w:r>
        <w:t xml:space="preserve">1×1</w:t>
      </w:r>
      <w:r>
        <w:rPr>
          <w:rFonts w:hint="eastAsia"/>
        </w:rPr>
        <w:t>卷积统一通道后相加。简化表达为：</w:t>
      </w:r>
    </w:p>
    <w:p w14:paraId="6B95E028">
      <w:pPr>
        <w:pStyle w:val="3"/>
        <w:keepNext w:val="0"/>
        <w:keepLines/>
        <w:widowControl w:val="1"/>
        <w:spacing w:before="80" w:after="100"/>
        <w:ind w:firstLine="0"/>
        <w:jc w:val="center"/>
        <w:autoSpaceDE w:val="0"/>
        <w:autoSpaceDN w:val="0"/>
      </w:pPr>
      <m:oMath>
        <m:r>
          <m:rPr/>
          <m:t>α</m:t>
        </m:r>
        <m:r>
          <m:rPr>
            <m:sty m:val="p"/>
          </m:rPr>
          <m:t>=</m:t>
        </m:r>
        <m:r>
          <m:rPr/>
          <m:t>σ</m:t>
        </m:r>
        <m:d>
          <m:dPr>
            <m:sepChr m:val=""/>
          </m:dPr>
          <m:e>
            <m:r>
              <m:rPr/>
              <m:t>BN</m:t>
            </m:r>
            <m:r>
              <m:rPr>
                <m:sty m:val="p"/>
              </m:rPr>
              <m:t>(</m:t>
            </m:r>
            <m:r>
              <m:rPr/>
              <m:t>ψ</m:t>
            </m:r>
            <m:r>
              <m:rPr>
                <m:sty m:val="p"/>
              </m:rPr>
              <m:t>(ReLU(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x</m:t>
                </m:r>
              </m:sub>
            </m:sSub>
            <m:r>
              <m:rPr/>
              <m:t>x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g</m:t>
                </m:r>
              </m:sub>
            </m:sSub>
            <m:r>
              <m:rPr/>
              <m:t>g</m:t>
            </m:r>
            <m:r>
              <m:rPr>
                <m:sty m:val="p"/>
              </m:rPr>
              <m:t>)))</m:t>
            </m:r>
          </m:e>
        </m:d>
        <m:r>
          <m:rPr>
            <m:sty m:val="p"/>
          </m:rPr>
          <m:t>,</m:t>
        </m:r>
        <m:r>
          <m:rPr/>
          <m:t>  </m:t>
        </m:r>
        <m:acc>
          <m:accPr/>
          <m:e>
            <m:r>
              <m:rPr/>
              <m:t>x</m:t>
            </m:r>
          </m:e>
        </m:acc>
        <m:r>
          <m:rPr>
            <m:sty m:val="p"/>
          </m:rPr>
          <m:t>=</m:t>
        </m:r>
        <m:r>
          <m:rPr/>
          <m:t>α</m:t>
        </m:r>
        <m:r>
          <m:rPr>
            <m:sty m:val="p"/>
          </m:rPr>
          <m:t>⊙</m:t>
        </m:r>
        <m:r>
          <m:rPr/>
          <m:t>x</m:t>
        </m:r>
      </m:oMath>
      <w:r>
        <w:t>　（1）</w:t>
      </w:r>
    </w:p>
    <w:p w14:paraId="0AC988D7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t xml:space="preserve">α</w:t>
      </w:r>
      <w:r>
        <w:rPr>
          <w:rFonts w:hint="eastAsia"/>
        </w:rPr>
        <w:t>是单通道空间权重图，广播乘到所有</w:t>
      </w:r>
      <w:r>
        <w:t xml:space="preserve">skip</w:t>
      </w:r>
      <w:r>
        <w:rPr>
          <w:rFonts w:hint="eastAsia"/>
        </w:rPr>
        <w:t>通道，不是每个通道独立评分，也不是</w:t>
      </w:r>
      <w:r>
        <w:t xml:space="preserve">Transformer</w:t>
      </w:r>
      <w:r>
        <w:rPr>
          <w:rFonts w:hint="eastAsia"/>
        </w:rPr>
        <w:t>自注意力。默认</w:t>
      </w:r>
      <w:r>
        <w:t xml:space="preserve">all</w:t>
      </w:r>
      <w:r>
        <w:rPr>
          <w:rFonts w:hint="eastAsia"/>
        </w:rPr>
        <w:t>使用</w:t>
      </w:r>
      <w:r>
        <w:t xml:space="preserve"/>
      </w:r>
      <w:r>
        <w:rPr>
          <w:rFonts w:hint="eastAsia"/>
        </w:rPr>
        <w:t>g1、g2、g3、g4；skip</w:t>
      </w:r>
      <w:r>
        <w:t xml:space="preserve"/>
      </w:r>
      <w:r>
        <w:rPr>
          <w:rFonts w:hint="eastAsia"/>
        </w:rPr>
        <w:t>仅启用浅层</w:t>
      </w:r>
      <w:r>
        <w:t xml:space="preserve"/>
      </w:r>
      <w:r>
        <w:rPr>
          <w:rFonts w:hint="eastAsia"/>
        </w:rPr>
        <w:t>g1/g2；bottleneck</w:t>
      </w:r>
      <w:r>
        <w:t xml:space="preserve"/>
      </w:r>
      <w:r>
        <w:rPr>
          <w:rFonts w:hint="eastAsia"/>
        </w:rPr>
        <w:t>仅启用靠近瓶颈的</w:t>
      </w:r>
      <w:r>
        <w:t xml:space="preserve">g4</w:t>
      </w:r>
      <w:r>
        <w:rPr>
          <w:rFonts w:hint="eastAsia"/>
        </w:rPr>
        <w:t>跳跃连接，并没有在瓶颈主干加入</w:t>
      </w:r>
      <w:r>
        <w:t xml:space="preserve"/>
      </w:r>
      <w:r>
        <w:rPr>
          <w:rFonts w:hint="eastAsia"/>
        </w:rPr>
        <w:t>Transformer。门控可抑制部分无关位置，但也可能压低有用边界信息，需通过实际结果检验。</w:t>
      </w:r>
    </w:p>
    <w:p w14:paraId="09982F39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436000" cy="3533699"/>
            <wp:effectExtent l="0" t="0" r="0" b="0"/>
            <wp:docPr id="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336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15F5C9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图3</w:t>
      </w:r>
      <w:r>
        <w:rPr>
          <w:rFonts w:ascii="Times New Roman" w:hAnsi="Times New Roman" w:eastAsia="Songti SC"/>
          <w:color w:val="000000"/>
          <w:sz w:val="21"/>
        </w:rPr>
        <w:t xml:space="preserve">　Attention U-Net</w:t>
      </w:r>
      <w:r>
        <w:rPr>
          <w:rFonts w:hint="eastAsia" w:ascii="Times New Roman" w:hAnsi="Times New Roman" w:eastAsia="Songti SC"/>
          <w:color w:val="000000"/>
          <w:sz w:val="21"/>
        </w:rPr>
        <w:t>空间门控结构</w:t>
      </w:r>
    </w:p>
    <w:bookmarkEnd w:id="9"/>
    <w:p w14:paraId="6583FD3B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10" w:name="sam与视觉transformer"/>
      <w:r>
        <w:t xml:space="preserve">3.4 </w:t>
      </w:r>
      <w:r>
        <w:rPr>
          <w:rFonts w:hint="eastAsia"/>
        </w:rPr>
        <w:t>SAM与视觉Transformer</w:t>
      </w:r>
    </w:p>
    <w:p w14:paraId="46F5045B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SAM采用ViT-B图像编码器、提示编码器和Two-Way掩膜解码器⁠</w:t>
      </w:r>
      <w:r>
        <w:fldChar w:fldCharType="begin"/>
      </w:r>
      <w:r>
        <w:instrText xml:space="preserve"> HYPERLINK \l "ref-4" \h </w:instrText>
      </w:r>
      <w:r>
        <w:fldChar w:fldCharType="separate"/>
      </w:r>
      <w:r>
        <w:rPr>
          <w:rStyle w:val="20"/>
          <w:color w:val="000000"/>
          <w:vertAlign w:val="superscript"/>
        </w:rPr>
        <w:t>[4]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。本实现从384母版读取256网格，再缩放为1024输入；坐标同步乘4，输出与评价回到256网格。放大输入不会恢复母版丢失的细节，直接正方形缩放也与官方保持长宽比的预测流程不同。</w:t>
      </w:r>
    </w:p>
    <w:p w14:paraId="2BDE4A1E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436000" cy="3328725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32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B7268E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图4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SAM图像与提示双路径</w:t>
      </w:r>
    </w:p>
    <w:p w14:paraId="27FD72AF">
      <w:pPr>
        <w:pStyle w:val="3"/>
        <w:keepNext w:val="0"/>
        <w:keepLines w:val="0"/>
        <w:widowControl w:val="1"/>
        <w:spacing w:line="324" w:lineRule="auto" w:before="0" w:after="100"/>
        <w:ind w:left="0" w:leftChars="0" w:firstLine="0" w:firstLineChars="0"/>
        <w:autoSpaceDE w:val="0"/>
        <w:autoSpaceDN w:val="0"/>
      </w:pPr>
      <w:r>
        <w:rPr>
          <w:rFonts w:hint="eastAsia"/>
        </w:rPr>
        <w:t>Transformer通过查询Q、键K和值V进行内容相关的信息聚合⁠</w:t>
      </w:r>
      <w:r>
        <w:fldChar w:fldCharType="begin"/>
      </w:r>
      <w:r>
        <w:instrText xml:space="preserve"> HYPERLINK \l "ref-6" \h </w:instrText>
      </w:r>
      <w:r>
        <w:fldChar w:fldCharType="separate"/>
      </w:r>
      <w:r>
        <w:rPr>
          <w:rStyle w:val="20"/>
          <w:color w:val="000000"/>
          <w:vertAlign w:val="superscript"/>
        </w:rPr>
        <w:t>[6]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：</w:t>
      </w:r>
    </w:p>
    <w:p w14:paraId="11CDCE08">
      <w:pPr>
        <w:pStyle w:val="3"/>
        <w:keepNext w:val="0"/>
        <w:keepLines/>
        <w:widowControl w:val="1"/>
        <w:spacing w:before="80" w:after="100"/>
        <w:ind w:firstLine="0"/>
        <w:jc w:val="center"/>
        <w:autoSpaceDE w:val="0"/>
        <w:autoSpaceDN w:val="0"/>
      </w:pPr>
      <m:oMath>
        <m:r>
          <m:rPr>
            <m:sty m:val="p"/>
          </m:rPr>
          <m:t>Attention(</m:t>
        </m:r>
        <m:r>
          <m:rPr/>
          <m:t>Q</m:t>
        </m:r>
        <m:r>
          <m:rPr>
            <m:sty m:val="p"/>
          </m:rPr>
          <m:t>,</m:t>
        </m:r>
        <m:r>
          <m:rPr/>
          <m:t>K</m:t>
        </m:r>
        <m:r>
          <m:rPr>
            <m:sty m:val="p"/>
          </m:rPr>
          <m:t>,</m:t>
        </m:r>
        <m:r>
          <m:rPr/>
          <m:t>V</m:t>
        </m:r>
        <m:r>
          <m:rPr>
            <m:sty m:val="p"/>
          </m:rPr>
          <m:t>)=softmax(</m:t>
        </m:r>
        <m:r>
          <m:rPr/>
          <m:t>Q</m:t>
        </m:r>
        <m:sSup>
          <m:sSupPr/>
          <m:e>
            <m:r>
              <m:rPr/>
              <m:t>K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/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d</m:t>
                </m:r>
              </m:e>
              <m:sub>
                <m:r>
                  <m:rPr/>
                  <m:t>k</m:t>
                </m:r>
              </m:sub>
            </m:sSub>
          </m:e>
        </m:rad>
        <m:r>
          <m:rPr>
            <m:sty m:val="p"/>
          </m:rPr>
          <m:t>)</m:t>
        </m:r>
        <m:r>
          <m:rPr/>
          <m:t>V</m:t>
        </m:r>
      </m:oMath>
      <w:r>
        <w:t>　（2）</w:t>
      </w:r>
    </w:p>
    <w:p w14:paraId="6FA76FAC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ViT将图像划分为patch序列⁠</w:t>
      </w:r>
      <w:r>
        <w:fldChar w:fldCharType="begin"/>
      </w:r>
      <w:r>
        <w:instrText xml:space="preserve"> HYPERLINK \l "ref-7" \h </w:instrText>
      </w:r>
      <w:r>
        <w:fldChar w:fldCharType="separate"/>
      </w:r>
      <w:r>
        <w:rPr>
          <w:rStyle w:val="20"/>
          <w:color w:val="000000"/>
          <w:vertAlign w:val="superscript"/>
        </w:rPr>
        <w:t>[7]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。本项目ViT-B采用16×16</w:t>
      </w:r>
      <w:r>
        <w:t xml:space="preserve"> </w:t>
      </w:r>
      <w:r>
        <w:rPr>
          <w:rFonts w:hint="eastAsia"/>
        </w:rPr>
        <w:t>patch、12层、768维、12头，得到64×64网格；零起始层2、5、8、11使用全局注意力，其余使用窗口注意力，neck输出256×64×64嵌入。此处与深度2、8头的Two-Way解码器均实际使用Transformer，满足作业二要求。空间门控仅产生单通道权重，与Q/K/V注意力机制不同。</w:t>
      </w:r>
    </w:p>
    <w:p w14:paraId="550F5FCA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436000" cy="3551679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40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516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B0CE3B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图5</w:t>
      </w:r>
      <w:r>
        <w:rPr>
          <w:rFonts w:ascii="Times New Roman" w:hAnsi="Times New Roman" w:eastAsia="Songti SC"/>
          <w:color w:val="000000"/>
          <w:sz w:val="21"/>
        </w:rPr>
        <w:t xml:space="preserve">　Two-Way </w:t>
      </w:r>
      <w:r>
        <w:rPr>
          <w:rFonts w:hint="eastAsia" w:ascii="Times New Roman" w:hAnsi="Times New Roman" w:eastAsia="Songti SC"/>
          <w:color w:val="000000"/>
          <w:sz w:val="21"/>
        </w:rPr>
        <w:t>Transformer双向交互与掩膜生成</w:t>
      </w:r>
    </w:p>
    <w:p w14:paraId="0B230117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提示编码器以位置和类型嵌入表示框角点或前景点；未使用mask提示时加入no-mask嵌入。解码后的mask</w:t>
      </w:r>
      <w:r>
        <w:t xml:space="preserve"> </w:t>
      </w:r>
      <w:r>
        <w:rPr>
          <w:rFonts w:hint="eastAsia"/>
        </w:rPr>
        <w:t>token经MLP生成超网络权重，与上采样图像特征结合输出logits⁠</w:t>
      </w:r>
      <w:r>
        <w:fldChar w:fldCharType="begin"/>
      </w:r>
      <w:r>
        <w:instrText xml:space="preserve"> HYPERLINK \l "ref-8" \h </w:instrText>
      </w:r>
      <w:r>
        <w:fldChar w:fldCharType="separate"/>
      </w:r>
      <w:r>
        <w:rPr>
          <w:rStyle w:val="20"/>
          <w:color w:val="000000"/>
          <w:vertAlign w:val="superscript"/>
        </w:rPr>
        <w:t>[8]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。本项目输出单掩膜，以sigmoid&gt;0.5二值化。模型内部IoU预测头属于质量估计，测试IoU由真实标签计算。</w:t>
      </w:r>
    </w:p>
    <w:bookmarkEnd w:id="10"/>
    <w:p w14:paraId="1B087299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11" w:name="lora与自动提示级联"/>
      <w:r>
        <w:t xml:space="preserve">3.5 </w:t>
      </w:r>
      <w:r>
        <w:rPr>
          <w:rFonts w:hint="eastAsia"/>
        </w:rPr>
        <w:t>LoRA与自动提示级联</w:t>
      </w:r>
    </w:p>
    <w:p w14:paraId="304CF52E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LoRA冻结原投影，以低秩增量调整模型⁠</w:t>
      </w:r>
      <w:r>
        <w:fldChar w:fldCharType="begin"/>
      </w:r>
      <w:r>
        <w:instrText xml:space="preserve"> HYPERLINK \l "ref-9" \h </w:instrText>
      </w:r>
      <w:r>
        <w:fldChar w:fldCharType="separate"/>
      </w:r>
      <w:r>
        <w:rPr>
          <w:rStyle w:val="20"/>
          <w:color w:val="000000"/>
          <w:vertAlign w:val="superscript"/>
        </w:rPr>
        <w:t>[9]</w:t>
      </w:r>
      <w:r>
        <w:rPr>
          <w:rStyle w:val="20"/>
          <w:color w:val="000000"/>
          <w:vertAlign w:val="superscript"/>
        </w:rPr>
        <w:fldChar w:fldCharType="end"/>
      </w:r>
      <w:r>
        <w:rPr>
          <w:rFonts w:hint="eastAsia"/>
        </w:rPr>
        <w:t>：</w:t>
      </w:r>
    </w:p>
    <w:p w14:paraId="0385C24A">
      <w:pPr>
        <w:pStyle w:val="3"/>
        <w:keepNext w:val="0"/>
        <w:keepLines/>
        <w:widowControl w:val="1"/>
        <w:spacing w:before="80" w:after="100"/>
        <w:ind w:firstLine="0"/>
        <w:jc w:val="center"/>
        <w:autoSpaceDE w:val="0"/>
        <w:autoSpaceDN w:val="0"/>
      </w:pPr>
      <m:oMath>
        <m:sSub>
          <m:sSubPr/>
          <m:e>
            <m:r>
              <m:rPr/>
              <m:t>W</m:t>
            </m:r>
          </m:e>
          <m:sub>
            <m:r>
              <m:rPr/>
              <m:t>eff</m:t>
            </m:r>
          </m:sub>
        </m:sSub>
        <m:r>
          <m:rPr/>
          <m:t>x</m:t>
        </m:r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  <m:r>
          <m:rPr/>
          <m:t>x</m:t>
        </m:r>
        <m:r>
          <m:rPr>
            <m:sty m:val="p"/>
          </m:rPr>
          <m:t>+(</m:t>
        </m:r>
        <m:r>
          <m:rPr/>
          <m:t>α</m:t>
        </m:r>
        <m:r>
          <m:rPr>
            <m:sty m:val="p"/>
          </m:rPr>
          <m:t>/</m:t>
        </m:r>
        <m:r>
          <m:rPr/>
          <m:t>r</m:t>
        </m:r>
        <m:r>
          <m:rPr>
            <m:sty m:val="p"/>
          </m:rPr>
          <m:t>)</m:t>
        </m:r>
        <m:r>
          <m:rPr/>
          <m:t>BAx</m:t>
        </m:r>
      </m:oMath>
      <w:r>
        <w:t>　（3）</w:t>
      </w:r>
    </w:p>
    <w:p w14:paraId="00BCA4DA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本实现r=8、α=16，12层qkv投影各自建立独立的A、B矩阵，并用输出mask仅保留q/v增量。LoRA新增294912参数；E3同时训练prompt与decoder，联合优化4359472参数。参数节省需按联合优化范围解释。E3从原版SAM独立初始化，未接续E2。</w:t>
      </w:r>
    </w:p>
    <w:p w14:paraId="15BCA927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436000" cy="2901996"/>
            <wp:effectExtent l="0" t="0" r="0" b="0"/>
            <wp:docPr id="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b="1458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9019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3D909F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图6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低秩旁路与三阶段优化范围</w:t>
      </w:r>
    </w:p>
    <w:p w14:paraId="30D257E9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自动级联先用unet_s42预测掩膜并取外接框，再将框输入SAM。1000条自动框中6条为空，按全图框回退；auto10将四边各外扩原框宽高的10%并截断。GT只用于级联评价，不能用于生成自动提示。</w:t>
      </w:r>
    </w:p>
    <w:p w14:paraId="523C710D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436000" cy="2854049"/>
            <wp:effectExtent l="0" t="0" r="0" b="0"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8540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A0CEF9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图7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U-Net自动提框与SAM分割级联</w:t>
      </w:r>
    </w:p>
    <w:bookmarkEnd w:id="5"/>
    <w:bookmarkEnd w:id="11"/>
    <w:p w14:paraId="40606AD5">
      <w:pPr>
        <w:pStyle w:val="2"/>
        <w:keepNext/>
        <w:keepLines/>
        <w:pageBreakBefore w:val="0"/>
        <w:widowControl w:val="1"/>
        <w:autoSpaceDE w:val="0"/>
        <w:autoSpaceDN w:val="0"/>
        <w:spacing w:before="180" w:after="100" w:line="276" w:lineRule="auto"/>
      </w:pPr>
      <w:bookmarkStart w:id="12" w:name="四-实验设计"/>
      <w:r>
        <w:rPr>
          <w:rFonts w:hint="eastAsia"/>
        </w:rPr>
        <w:t>四</w:t>
      </w:r>
      <w:r>
        <w:t xml:space="preserve"> </w:t>
      </w:r>
      <w:r>
        <w:rPr>
          <w:rFonts w:hint="eastAsia"/>
        </w:rPr>
        <w:t>实验设计</w:t>
      </w:r>
      <w:bookmarkStart w:id="13" w:name="section3"/>
      <w:bookmarkEnd w:id="13"/>
    </w:p>
    <w:p w14:paraId="51AF90BF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14" w:name="数据与预处理"/>
      <w:r>
        <w:t xml:space="preserve">4.1</w:t>
      </w:r>
      <w:r>
        <w:rPr>
          <w:rFonts w:hint="eastAsia"/>
        </w:rPr>
        <w:t>数据与预处理</w:t>
      </w:r>
    </w:p>
    <w:p w14:paraId="6956C685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采用ISIC</w:t>
      </w:r>
      <w:r>
        <w:t xml:space="preserve"> 2018 Task </w:t>
      </w:r>
      <w:r>
        <w:rPr>
          <w:rFonts w:hint="eastAsia"/>
        </w:rPr>
        <w:t>1本地固定划分：train</w:t>
      </w:r>
      <w:r>
        <w:t xml:space="preserve"> 2594、val 100、test </w:t>
      </w:r>
      <w:r>
        <w:rPr>
          <w:rFonts w:hint="eastAsia"/>
        </w:rPr>
        <w:t>1000。384母版病灶前景均值分别为21.40%、26.84%、27.98%，提示训练与测试尺度分布存在差异。图像按ID与掩膜配对；未额外筛选手工特征，网络直接学习RGB表示。</w:t>
      </w:r>
    </w:p>
    <w:p w14:paraId="1B9E06ED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卷积网络默认256输入，图像使用面积插值、掩膜使用最近邻并二值化；图像除以255后按ImageNet均值与标准差归一化，网络仍为随机初始化。训练包含翻转、±30°旋转、0.8—1.2缩放、平移、亮度对比度和噪声；验证测试只缩放与归一化。SAM沿用同一数据和256评价网格。修复后的E2保留固定原图嵌入，仅扰动框，取消可能破坏空间监督对应的嵌入翻转。</w:t>
      </w:r>
    </w:p>
    <w:bookmarkEnd w:id="14"/>
    <w:p w14:paraId="44AB2FEA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15" w:name="指标与损失"/>
      <w:r>
        <w:t xml:space="preserve">4.2</w:t>
      </w:r>
      <w:r>
        <w:rPr>
          <w:rFonts w:hint="eastAsia"/>
        </w:rPr>
        <w:t>指标与损失</w:t>
      </w:r>
    </w:p>
    <w:p w14:paraId="737D2CDD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逐图计算并对图像平均。TP、FP、FN、TN分别表示命中前景、误检、漏检和正确背景像素；区域指标为：</w:t>
      </w:r>
    </w:p>
    <w:p w14:paraId="00E8FB2B">
      <w:pPr>
        <w:pStyle w:val="3"/>
        <w:keepNext w:val="0"/>
        <w:keepLines/>
        <w:widowControl w:val="1"/>
        <w:spacing w:before="80" w:after="100"/>
        <w:ind w:firstLine="0"/>
        <w:jc w:val="center"/>
        <w:autoSpaceDE w:val="0"/>
        <w:autoSpaceDN w:val="0"/>
      </w:pPr>
      <m:oMath>
        <m:r>
          <m:rPr>
            <m:sty m:val="p"/>
          </m:rPr>
          <m:t>Dice=</m:t>
        </m:r>
        <m:f>
          <m:fPr/>
          <m:num>
            <m:r>
              <m:rPr/>
              <m:t>2TP</m:t>
            </m:r>
          </m:num>
          <m:den>
            <m:r>
              <m:rPr/>
              <m:t>2TP</m:t>
            </m:r>
            <m:r>
              <m:rPr>
                <m:sty m:val="p"/>
              </m:rPr>
              <m:t>+</m:t>
            </m:r>
            <m:r>
              <m:rPr/>
              <m:t>FP</m:t>
            </m:r>
            <m:r>
              <m:rPr>
                <m:sty m:val="p"/>
              </m:rPr>
              <m:t>+</m:t>
            </m:r>
            <m:r>
              <m:rPr/>
              <m:t>FN</m:t>
            </m:r>
          </m:den>
        </m:f>
        <m:r>
          <m:rPr>
            <m:sty m:val="p"/>
          </m:rPr>
          <m:t>,</m:t>
        </m:r>
        <m:r>
          <m:rPr/>
          <m:t>  </m:t>
        </m:r>
        <m:r>
          <m:rPr>
            <m:sty m:val="p"/>
          </m:rPr>
          <m:t>IoU=</m:t>
        </m:r>
        <m:f>
          <m:fPr/>
          <m:num>
            <m:r>
              <m:rPr/>
              <m:t>TP</m:t>
            </m:r>
          </m:num>
          <m:den>
            <m:r>
              <m:rPr/>
              <m:t>TP</m:t>
            </m:r>
            <m:r>
              <m:rPr>
                <m:sty m:val="p"/>
              </m:rPr>
              <m:t>+</m:t>
            </m:r>
            <m:r>
              <m:rPr/>
              <m:t>FP</m:t>
            </m:r>
            <m:r>
              <m:rPr>
                <m:sty m:val="p"/>
              </m:rPr>
              <m:t>+</m:t>
            </m:r>
            <m:r>
              <m:rPr/>
              <m:t>FN</m:t>
            </m:r>
          </m:den>
        </m:f>
      </m:oMath>
      <w:r>
        <w:t>　（4）</w:t>
      </w:r>
    </w:p>
    <w:p w14:paraId="1107953B">
      <w:pPr>
        <w:pStyle w:val="23"/>
        <w:keepNext w:val="0"/>
        <w:keepLines/>
        <w:widowControl w:val="1"/>
        <w:spacing w:before="80" w:after="100"/>
        <w:ind w:firstLine="0"/>
        <w:jc w:val="center"/>
        <w:autoSpaceDE w:val="0"/>
        <w:autoSpaceDN w:val="0"/>
      </w:pPr>
      <m:oMath>
        <m:r>
          <m:rPr>
            <m:sty m:val="p"/>
          </m:rPr>
          <m:t>Sensitivity=</m:t>
        </m:r>
        <m:f>
          <m:fPr/>
          <m:num>
            <m:r>
              <m:rPr/>
              <m:t>TP</m:t>
            </m:r>
          </m:num>
          <m:den>
            <m:r>
              <m:rPr/>
              <m:t>TP</m:t>
            </m:r>
            <m:r>
              <m:rPr>
                <m:sty m:val="p"/>
              </m:rPr>
              <m:t>+</m:t>
            </m:r>
            <m:r>
              <m:rPr/>
              <m:t>FN</m:t>
            </m:r>
          </m:den>
        </m:f>
        <m:r>
          <m:rPr>
            <m:sty m:val="p"/>
          </m:rPr>
          <m:t>,</m:t>
        </m:r>
        <m:r>
          <m:rPr/>
          <m:t>  </m:t>
        </m:r>
        <m:r>
          <m:rPr>
            <m:sty m:val="p"/>
          </m:rPr>
          <m:t>Specificity=</m:t>
        </m:r>
        <m:f>
          <m:fPr/>
          <m:num>
            <m:r>
              <m:rPr/>
              <m:t>TN</m:t>
            </m:r>
          </m:num>
          <m:den>
            <m:r>
              <m:rPr/>
              <m:t>TN</m:t>
            </m:r>
            <m:r>
              <m:rPr>
                <m:sty m:val="p"/>
              </m:rPr>
              <m:t>+</m:t>
            </m:r>
            <m:r>
              <m:rPr/>
              <m:t>FP</m:t>
            </m:r>
          </m:den>
        </m:f>
      </m:oMath>
      <w:r>
        <w:t>　（5）</w:t>
      </w:r>
    </w:p>
    <w:p w14:paraId="0F98BA87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HD95取两方向最近边界距离各自95%分位的较大值，单位为评价网格像素。空预测仍进入Dice/IoU平均，但不进入HD95平均，因此需同时查看空预测与有效计数。灵敏度和特异度描述像素分割，不等同于临床诊断指标。</w:t>
      </w:r>
    </w:p>
    <w:p w14:paraId="6C8CDA60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默认使用BCE与Soft</w:t>
      </w:r>
      <w:r>
        <w:t xml:space="preserve"> </w:t>
      </w:r>
      <w:r>
        <w:rPr>
          <w:rFonts w:hint="eastAsia"/>
        </w:rPr>
        <w:t>Dice各占一半的混合损失，其中p为sigmoid概率，ε=10⁻⁶：</w:t>
      </w:r>
    </w:p>
    <w:p w14:paraId="048B8997">
      <w:pPr>
        <w:pStyle w:val="3"/>
        <w:keepNext w:val="0"/>
        <w:keepLines/>
        <w:widowControl w:val="1"/>
        <w:spacing w:before="80" w:after="100"/>
        <w:ind w:firstLine="0"/>
        <w:jc w:val="center"/>
        <w:autoSpaceDE w:val="0"/>
        <w:autoSpaceDN w:val="0"/>
      </w:pPr>
      <m:oMath>
        <m:r>
          <m:rPr/>
          <m:t>L</m:t>
        </m:r>
        <m:r>
          <m:rPr>
            <m:sty m:val="p"/>
          </m:rPr>
          <m:t>=</m:t>
        </m:r>
        <m:r>
          <m:rPr/>
          <m:t>0.5</m:t>
        </m:r>
        <m:sSub>
          <m:sSubPr/>
          <m:e>
            <m:r>
              <m:rPr/>
              <m:t>L</m:t>
            </m:r>
          </m:e>
          <m:sub>
            <m:r>
              <m:rPr/>
              <m:t>BCE</m:t>
            </m:r>
          </m:sub>
        </m:sSub>
        <m:r>
          <m:rPr>
            <m:sty m:val="p"/>
          </m:rPr>
          <m:t>+</m:t>
        </m:r>
        <m:r>
          <m:rPr/>
          <m:t>0.5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2</m:t>
                </m:r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sSub>
                      <m:sSubPr/>
                      <m:e>
                        <m:r>
                          <m:rPr/>
                          <m:t>p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e>
                </m:nary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ϵ</m:t>
                </m:r>
              </m:num>
              <m:den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sSub>
                      <m:sSubPr/>
                      <m:e>
                        <m:r>
                          <m:rPr/>
                          <m:t>p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rPr/>
                      <m:t>i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r>
                  <m:rPr/>
                  <m:t>ϵ</m:t>
                </m:r>
              </m:den>
            </m:f>
          </m:e>
        </m:d>
      </m:oMath>
      <w:r>
        <w:t>　（6）</w:t>
      </w:r>
    </w:p>
    <w:bookmarkEnd w:id="15"/>
    <w:p w14:paraId="66153A7C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16" w:name="实验配置与比较变量"/>
      <w:r>
        <w:t xml:space="preserve">4.3</w:t>
      </w:r>
      <w:r>
        <w:rPr>
          <w:rFonts w:hint="eastAsia"/>
        </w:rPr>
        <w:t>实验配置与比较变量</w:t>
      </w:r>
    </w:p>
    <w:p w14:paraId="6F391771">
      <w:pPr>
        <w:pStyle w:val="2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表1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主要实验配置</w:t>
      </w:r>
    </w:p>
    <w:tbl>
      <w:tblPr>
        <w:tblStyle w:val="41"/>
        <w:tblW w:w="5000" w:type="pct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2"/>
        <w:gridCol w:w="3300"/>
        <w:gridCol w:w="3300"/>
      </w:tblGrid>
      <w:tr w14:paraId="29A949B9">
        <w:trPr>
          <w:cantSplit w:val="1"/>
          <w:tblHeader/>
          <w:jc w:val="center"/>
        </w:trPr>
        <w:tc>
          <w:tcPr>
            <w:tcW w:w="255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19E1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项目</w:t>
            </w:r>
          </w:p>
        </w:tc>
        <w:tc>
          <w:tcPr>
            <w:tcW w:w="3260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1B135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卷积网络</w:t>
            </w:r>
          </w:p>
        </w:tc>
        <w:tc>
          <w:tcPr>
            <w:tcW w:w="3260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7EDC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SAM</w:t>
            </w:r>
          </w:p>
        </w:tc>
      </w:tr>
      <w:tr w14:paraId="67730A2A">
        <w:trPr>
          <w:cantSplit w:val="1"/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C28FC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模型与阶段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A2F58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U-Net / ResUNet / Attention U-Net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00B0B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E1零样本</w:t>
            </w: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 / </w:t>
            </w: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E2局部微调</w:t>
            </w: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 / E3 LoRA</w:t>
            </w:r>
          </w:p>
        </w:tc>
      </w:tr>
      <w:tr w14:paraId="74FD6242">
        <w:trPr>
          <w:cantSplit w:val="1"/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536D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训练样本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6746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2594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001BC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E2 </w:t>
            </w: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2594；E3前600</w:t>
            </w:r>
          </w:p>
        </w:tc>
      </w:tr>
      <w:tr w14:paraId="4E72E29F">
        <w:trPr>
          <w:cantSplit w:val="1"/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0FC40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优化器与学习率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998B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AdamW；1e-3；余弦调度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9601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AdamW；E2/E3</w:t>
            </w: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 1e-4</w:t>
            </w:r>
          </w:p>
        </w:tc>
      </w:tr>
      <w:tr w14:paraId="3D295259">
        <w:trPr>
          <w:cantSplit w:val="1"/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7C7F3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默认输入与batch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5A571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256；8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646D9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1024编码、256评价；8</w:t>
            </w: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 / </w:t>
            </w: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1×累积8</w:t>
            </w:r>
          </w:p>
        </w:tc>
      </w:tr>
      <w:tr w14:paraId="69C2F44F">
        <w:trPr>
          <w:cantSplit w:val="1"/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50A0C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设定预算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BA43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12轮上限；patience</w:t>
            </w: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 6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F16F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E2 </w:t>
            </w: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20轮；E3</w:t>
            </w: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6轮</w:t>
            </w:r>
          </w:p>
        </w:tc>
      </w:tr>
      <w:tr w14:paraId="36DFBD53">
        <w:trPr>
          <w:cantSplit w:val="1"/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2EB7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重复与变量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07449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三种子；损失、尺寸、门控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B13DB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20"/>
              </w:rPr>
              <w:t>框扰动、点数、自动提示</w:t>
            </w:r>
          </w:p>
        </w:tc>
      </w:tr>
    </w:tbl>
    <w:p w14:paraId="32B67267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卷积主实验种子为42、2026、7，均值误差条使用分母n−1的样本标准差。消融固定种子42，比较BCE/Dice/混合、192/256/384输入和浅层/深层/全部门控；五折作为补充验证，留出折参与权重选择，其独立性有限。SAM十类提示包括GT框、±10%/±20%扰动框、1/3/5点、auto和auto10；前八类由GT构造，属于模拟交互。没有开展LoRA秩或学习率搜索。</w:t>
      </w:r>
    </w:p>
    <w:bookmarkEnd w:id="16"/>
    <w:p w14:paraId="7A563B7E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17" w:name="实现修复与完整复验"/>
      <w:r>
        <w:t xml:space="preserve">4.4</w:t>
      </w:r>
      <w:r>
        <w:rPr>
          <w:rFonts w:hint="eastAsia"/>
        </w:rPr>
        <w:t>实现修复与完整复验</w:t>
      </w:r>
    </w:p>
    <w:p w14:paraId="56232399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E2取消缓存特征翻转，保持嵌入、框与GT同坐标；E3完整恢复LoRA、提示编码器、解码器及缩放参数；训练器在保存last前更新best和耐心计数，编排按目标轮数验收。数据与权重身份、命令和日志单独存证。</w:t>
      </w:r>
    </w:p>
    <w:p w14:paraId="794A9FE5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完整复验包括E2</w:t>
      </w:r>
      <w:r>
        <w:t xml:space="preserve"> </w:t>
      </w:r>
      <w:r>
        <w:rPr>
          <w:rFonts w:hint="eastAsia"/>
        </w:rPr>
        <w:t>20轮、E3</w:t>
      </w:r>
      <w:r>
        <w:t xml:space="preserve"> </w:t>
      </w:r>
      <w:r>
        <w:rPr>
          <w:rFonts w:hint="eastAsia"/>
        </w:rPr>
        <w:t>6轮，以及384输入重新训练与测试；E2/E3各10类提示均覆盖1000张测试图。三者best分别为第9、2、2轮，与日志峰值和last一致。其余24组卷积实验及E1核对后保留。E3同图多提示复用当前模型在线嵌入，重新编码的预测逐像素一致，未使用原版缓存。详细核验见附录B。</w:t>
      </w:r>
    </w:p>
    <w:bookmarkEnd w:id="12"/>
    <w:bookmarkEnd w:id="17"/>
    <w:p w14:paraId="318DA6C6">
      <w:pPr>
        <w:pStyle w:val="2"/>
        <w:keepNext/>
        <w:keepLines/>
        <w:pageBreakBefore w:val="0"/>
        <w:widowControl w:val="1"/>
        <w:autoSpaceDE w:val="0"/>
        <w:autoSpaceDN w:val="0"/>
        <w:spacing w:before="180" w:after="100" w:line="276" w:lineRule="auto"/>
      </w:pPr>
      <w:bookmarkStart w:id="18" w:name="五-实验结果分析"/>
      <w:r>
        <w:rPr>
          <w:rFonts w:hint="eastAsia"/>
        </w:rPr>
        <w:t>五</w:t>
      </w:r>
      <w:r>
        <w:t xml:space="preserve"> </w:t>
      </w:r>
      <w:r>
        <w:rPr>
          <w:rFonts w:hint="eastAsia"/>
        </w:rPr>
        <w:t>实验结果分析</w:t>
      </w:r>
      <w:bookmarkStart w:id="19" w:name="section4"/>
      <w:bookmarkEnd w:id="19"/>
    </w:p>
    <w:p w14:paraId="1C94926B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20" w:name="卷积模型总体比较"/>
      <w:r>
        <w:t xml:space="preserve">5.1</w:t>
      </w:r>
      <w:r>
        <w:rPr>
          <w:rFonts w:hint="eastAsia"/>
        </w:rPr>
        <w:t>卷积模型总体比较</w:t>
      </w:r>
    </w:p>
    <w:p w14:paraId="5C12C957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九份正式test</w:t>
      </w:r>
      <w:r>
        <w:t xml:space="preserve"> </w:t>
      </w:r>
      <w:r>
        <w:rPr>
          <w:rFonts w:hint="eastAsia"/>
        </w:rPr>
        <w:t>JSON重算得到U-Net、ResUNet、Attention</w:t>
      </w:r>
      <w:r>
        <w:t xml:space="preserve"> </w:t>
      </w:r>
      <w:r>
        <w:rPr>
          <w:rFonts w:hint="eastAsia"/>
        </w:rPr>
        <w:t>U-Net的Dice均值分别为0.5939、0.6077、0.6080。图8用误差条呈现重复波动；三次重复不足以支持稳定的结构优势。区域与边界排名不一致，且HD95剔除空预测，选择模型时需同时查看失败数量。</w:t>
      </w:r>
    </w:p>
    <w:p w14:paraId="55C360FA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2376805"/>
            <wp:effectExtent l="0" t="0" r="0" b="0"/>
            <wp:docPr id="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69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28D94D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图8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卷积模型区域与边界指标比较</w:t>
      </w:r>
    </w:p>
    <w:p w14:paraId="7F03F8DF">
      <w:pPr>
        <w:pStyle w:val="3"/>
        <w:keepNext w:val="0"/>
        <w:keepLines/>
        <w:widowControl w:val="1"/>
        <w:autoSpaceDE w:val="0"/>
        <w:autoSpaceDN w:val="0"/>
        <w:spacing w:before="40" w:after="120" w:line="264" w:lineRule="auto"/>
      </w:pPr>
      <w:r>
        <w:rPr>
          <w:rFonts w:hint="eastAsia"/>
          <w:sz w:val="21"/>
        </w:rPr>
        <w:t>图9保留全部九次验证轨迹，显示同一结构也会出现早期峰值和后续回落。图10进一步提供学习率与单轮成本，帮助区分结构差异、优化过程和资源投入；完整逐次分数移至附录A，正文不再重复铺表。</w:t>
      </w:r>
    </w:p>
    <w:p w14:paraId="2F8C7126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2074545"/>
            <wp:effectExtent l="0" t="0" r="0" b="0"/>
            <wp:docPr id="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46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E40866">
      <w:pPr>
        <w:pStyle w:val="3"/>
        <w:keepNext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图9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九次主实验的验证Dice轨迹</w:t>
      </w:r>
    </w:p>
    <w:p w14:paraId="56D650A3">
      <w:pPr>
        <w:pStyle w:val="3"/>
        <w:keepNext w:val="0"/>
        <w:keepLines/>
        <w:widowControl w:val="1"/>
        <w:spacing w:after="100" w:line="264" w:lineRule="auto" w:before="0"/>
        <w:ind w:firstLine="0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18"/>
        </w:rPr>
        <w:t>注：原始轮次直线连接，不进行平滑；颜色和线型共同区分种子。</w:t>
      </w:r>
    </w:p>
    <w:p w14:paraId="781213B7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2170430"/>
            <wp:effectExtent l="0" t="0" r="0" b="0"/>
            <wp:docPr id="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0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70281B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图10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学习率与每轮训练成本</w:t>
      </w:r>
    </w:p>
    <w:bookmarkEnd w:id="20"/>
    <w:p w14:paraId="1F140AC9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21" w:name="超参数与补充验证"/>
      <w:r>
        <w:t xml:space="preserve">5.2</w:t>
      </w:r>
      <w:r>
        <w:rPr>
          <w:rFonts w:hint="eastAsia"/>
        </w:rPr>
        <w:t>超参数与补充验证</w:t>
      </w:r>
    </w:p>
    <w:p w14:paraId="3C42E2B6">
      <w:pPr>
        <w:pStyle w:val="23"/>
        <w:keepNext w:val="0"/>
        <w:keepLines/>
        <w:widowControl w:val="1"/>
        <w:autoSpaceDE w:val="0"/>
        <w:autoSpaceDN w:val="0"/>
        <w:spacing w:before="40" w:after="120" w:line="264" w:lineRule="auto"/>
      </w:pPr>
      <w:r>
        <w:rPr>
          <w:rFonts w:hint="eastAsia"/>
          <w:sz w:val="21"/>
        </w:rPr>
        <w:t>图11表明本次混合损失比BCE具有更好的前景重合，全部门控优于两个局部开关。384输入修复后Dice由0.4756变为0.5810，仍低于192输入的0.6391；两者训练成本、优化轨迹与HD95网格不同，不能据此断言低分辨率普遍更优。单种子消融用于提出后续假设，仍需匹配预算并重复验证。</w:t>
      </w:r>
    </w:p>
    <w:p w14:paraId="47ABA389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2160905"/>
            <wp:effectExtent l="0" t="0" r="0" b="0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1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CFBF46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图11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损失函数输入尺度与门控位置的比较</w:t>
      </w:r>
    </w:p>
    <w:p w14:paraId="425E81F1">
      <w:pPr>
        <w:pStyle w:val="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五折补充验证中ResUNet为0.5698±0.0349，Attention</w:t>
      </w:r>
      <w:r>
        <w:t xml:space="preserve"> </w:t>
      </w:r>
      <w:r>
        <w:rPr>
          <w:rFonts w:hint="eastAsia"/>
        </w:rPr>
        <w:t>U-Net为0.5631±0.0679，后者折间波动更大。留出折同时参与选权重，且模型选择参考过test结果，因此不能作为独立嵌套交叉验证证据。各折数据见附录A。</w:t>
      </w:r>
    </w:p>
    <w:bookmarkEnd w:id="21"/>
    <w:p w14:paraId="1828357C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22" w:name="sam提示工程与自动级联"/>
      <w:r>
        <w:t xml:space="preserve">5.3 </w:t>
      </w:r>
      <w:r>
        <w:rPr>
          <w:rFonts w:hint="eastAsia"/>
        </w:rPr>
        <w:t>SAM提示工程与自动级联</w:t>
      </w:r>
    </w:p>
    <w:p w14:paraId="195DB773">
      <w:pPr>
        <w:pStyle w:val="23"/>
        <w:keepNext w:val="0"/>
        <w:keepLines/>
        <w:widowControl w:val="1"/>
        <w:autoSpaceDE w:val="0"/>
        <w:autoSpaceDN w:val="0"/>
        <w:spacing w:before="40" w:after="120" w:line="264" w:lineRule="auto"/>
      </w:pPr>
      <w:r>
        <w:rPr>
          <w:rFonts w:hint="eastAsia"/>
          <w:sz w:val="21"/>
        </w:rPr>
        <w:t>图12将三阶段和十类提示置于同一矩阵。E2的GT框Dice为0.9181，高于E1的0.8691及E3的0.8970；提示内缩会遗漏边缘，改用点提示也改变了可用的定位信息。本轮E2的点数增加改善重合，是否普遍成立仍需多种子验证。E3只用600张训练图像，而E2使用2594张，因此阶段差异不能单独归因于LoRA机制。</w:t>
      </w:r>
    </w:p>
    <w:p w14:paraId="78C84BA8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2074545"/>
            <wp:effectExtent l="0" t="0" r="0" b="0"/>
            <wp:docPr id="5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F6B630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图12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三阶段十种提示的最终Dice矩阵</w:t>
      </w:r>
    </w:p>
    <w:p w14:paraId="4FB32902">
      <w:pPr>
        <w:pStyle w:val="3"/>
        <w:keepNext w:val="0"/>
        <w:keepLines/>
        <w:widowControl w:val="1"/>
        <w:autoSpaceDE w:val="0"/>
        <w:autoSpaceDN w:val="0"/>
        <w:spacing w:before="40" w:after="120" w:line="264" w:lineRule="auto"/>
      </w:pPr>
      <w:r>
        <w:rPr>
          <w:rFonts w:hint="eastAsia"/>
          <w:sz w:val="21"/>
        </w:rPr>
        <w:t>图13显示GT框到自动框的性能落差。固定上游unet_s42的Dice为0.6062，E2与E3自动框级联分别为0.6918和0.7559；E3相对上游提高约14.97个百分点，自动化能力应在这一路径下讨论。外扩10%后E2为0.6850、E3为0.7451，不能预设外扩必然改善结果。GT框及前景点由真实标签生成，只代表模拟交互条件。E1/E2读取原版缓存，E3在线编码，记录时延不作为统一部署速度比较。</w:t>
      </w:r>
    </w:p>
    <w:p w14:paraId="5419BD94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2666365"/>
            <wp:effectExtent l="0" t="0" r="0" b="0"/>
            <wp:docPr id="6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68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A2163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图13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GT框与自动框条件的最终比较</w:t>
      </w:r>
    </w:p>
    <w:bookmarkEnd w:id="22"/>
    <w:p w14:paraId="0B0EBA77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23" w:name="相同测试样本的真实预测"/>
      <w:r>
        <w:t xml:space="preserve">5.4</w:t>
      </w:r>
      <w:r>
        <w:rPr>
          <w:rFonts w:hint="eastAsia"/>
        </w:rPr>
        <w:t>相同测试样本的真实预测</w:t>
      </w:r>
    </w:p>
    <w:p w14:paraId="0A2D97A6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按测试GT面积接近10%、50%、90%分位固定三个样本ID，两类模型使用相同图像；U-Net无提示，SAM使用GT框。图14保留原图、真实掩膜、预测和误差，直接满足课程对测试案例的要求。小病灶例出现背景误检，大病灶例存在漏检和碎片；分位选样不代表最好或最差结果，三例也不能替代全测试均值。</w:t>
      </w:r>
    </w:p>
    <w:p w14:paraId="2D973E02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4188460"/>
            <wp:effectExtent l="0" t="0" r="0" b="0"/>
            <wp:docPr id="6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9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075EB5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图14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固定测试样本的U-Net预测与误差</w:t>
      </w:r>
    </w:p>
    <w:p w14:paraId="55EF68FE">
      <w:pPr>
        <w:pStyle w:val="3"/>
        <w:keepNext w:val="0"/>
        <w:keepLines/>
        <w:widowControl w:val="1"/>
        <w:autoSpaceDE w:val="0"/>
        <w:autoSpaceDN w:val="0"/>
        <w:spacing w:before="40" w:after="120" w:line="264" w:lineRule="auto"/>
      </w:pPr>
      <w:r>
        <w:rPr>
          <w:rFonts w:hint="eastAsia"/>
          <w:sz w:val="21"/>
        </w:rPr>
        <w:t>图15使用新选定权重重新生成同一组三个样本的GT框预测，直观对照不同适配方式的边缘覆盖。图中每个Dice直接由展示的二值掩膜计算，并与正式全测试JSON中相同ID的记录核对。该案例补充总体均值，不能代表全体样本的误差分布。</w:t>
      </w:r>
    </w:p>
    <w:p w14:paraId="16D05F24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292000" cy="3893441"/>
            <wp:effectExtent l="0" t="0" r="0" b="0"/>
            <wp:docPr id="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8934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E5AB6">
      <w:pPr>
        <w:pStyle w:val="3"/>
        <w:keepNext w:val="0"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图15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同样本与GT框下的SAM最终预测</w:t>
      </w:r>
    </w:p>
    <w:bookmarkEnd w:id="18"/>
    <w:bookmarkEnd w:id="23"/>
    <w:p w14:paraId="33C66535">
      <w:pPr>
        <w:pStyle w:val="2"/>
        <w:keepNext/>
        <w:keepLines/>
        <w:pageBreakBefore w:val="0"/>
        <w:widowControl w:val="1"/>
        <w:autoSpaceDE w:val="0"/>
        <w:autoSpaceDN w:val="0"/>
        <w:spacing w:before="180" w:after="100" w:line="276" w:lineRule="auto"/>
      </w:pPr>
      <w:bookmarkStart w:id="24" w:name="六-报告总结"/>
      <w:r>
        <w:rPr>
          <w:rFonts w:hint="eastAsia"/>
        </w:rPr>
        <w:t>六</w:t>
      </w:r>
      <w:r>
        <w:t xml:space="preserve"> </w:t>
      </w:r>
      <w:r>
        <w:rPr>
          <w:rFonts w:hint="eastAsia"/>
        </w:rPr>
        <w:t>报告总结</w:t>
      </w:r>
      <w:bookmarkStart w:id="25" w:name="section5"/>
      <w:bookmarkEnd w:id="25"/>
    </w:p>
    <w:p w14:paraId="71161B16">
      <w:pPr>
        <w:pStyle w:val="2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sz w:val="23"/>
        </w:rPr>
        <w:t>本项目完成手写医学分割网络、Transformer提示分割及自动提框级联，覆盖课程要求的总体比较、超参数比较和实际测试案例。卷积模型的结构收益较小，提示条件对SAM影响明显；实验解释必须同时考虑随机波动、数据预算和实现一致性。</w:t>
      </w:r>
    </w:p>
    <w:p w14:paraId="352A96FE">
      <w:pPr>
        <w:pStyle w:val="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b/>
          <w:bCs/>
          <w:sz w:val="23"/>
          <w:highlight w:val="yellow"/>
        </w:rPr>
        <w:t>个人观点一：先确定模型能获得什么信息，再比较分数。</w:t>
      </w:r>
      <w:r>
        <w:rPr>
          <w:sz w:val="23"/>
        </w:rPr>
        <w:t xml:space="preserve"/>
      </w:r>
      <w:r>
        <w:rPr>
          <w:rFonts w:hint="eastAsia"/>
          <w:sz w:val="23"/>
        </w:rPr>
        <w:t>GT提示使用了测试标注，自动提示才对应无人交互链路；预训练先验和上游成本也应纳入评价。</w:t>
      </w:r>
    </w:p>
    <w:p w14:paraId="5D758EEB">
      <w:pPr>
        <w:pStyle w:val="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b/>
          <w:bCs/>
          <w:sz w:val="23"/>
          <w:highlight w:val="yellow"/>
        </w:rPr>
        <w:t>个人观点二：复杂结构需要稳定证据支撑。</w:t>
      </w:r>
      <w:r>
        <w:rPr>
          <w:sz w:val="23"/>
        </w:rPr>
        <w:t xml:space="preserve"/>
      </w:r>
      <w:r>
        <w:rPr>
          <w:rFonts w:hint="eastAsia"/>
          <w:sz w:val="23"/>
        </w:rPr>
        <w:t>残差、门控和LoRA都有合理动机，但当前结果不足以说明其普遍优势。预算匹配、多种子重复与失败样本比一次最高分更有说服力。</w:t>
      </w:r>
    </w:p>
    <w:p w14:paraId="665F646C">
      <w:pPr>
        <w:pStyle w:val="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b/>
          <w:bCs/>
          <w:sz w:val="23"/>
          <w:highlight w:val="yellow"/>
        </w:rPr>
        <w:t>个人观点三：实现正确性是结论的前提。</w:t>
      </w:r>
      <w:r>
        <w:rPr>
          <w:sz w:val="23"/>
        </w:rPr>
        <w:t xml:space="preserve"/>
      </w:r>
      <w:r>
        <w:rPr>
          <w:rFonts w:hint="eastAsia"/>
          <w:sz w:val="23"/>
        </w:rPr>
        <w:t>监督坐标、模块权重恢复及续跑状态必须一致。本次以独立重训和完整评测解决权重缺失，并核对选中轮次与日志峰值；结论随新证据更新。</w:t>
      </w:r>
    </w:p>
    <w:bookmarkEnd w:id="24"/>
    <w:p w14:paraId="4109F6B8">
      <w:pPr>
        <w:pStyle w:val="2"/>
        <w:keepNext/>
        <w:keepLines/>
        <w:pageBreakBefore/>
        <w:widowControl w:val="1"/>
        <w:autoSpaceDE w:val="0"/>
        <w:autoSpaceDN w:val="0"/>
        <w:spacing w:before="180" w:after="100" w:line="276" w:lineRule="auto"/>
      </w:pPr>
      <w:bookmarkStart w:id="26" w:name="参考文献"/>
      <w:r>
        <w:rPr>
          <w:rFonts w:hint="eastAsia"/>
        </w:rPr>
        <w:t>参考文献</w:t>
      </w:r>
      <w:bookmarkStart w:id="27" w:name="section6"/>
      <w:bookmarkEnd w:id="27"/>
    </w:p>
    <w:p w14:paraId="46A855BC">
      <w:pPr>
        <w:pStyle w:val="2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28" w:name="ref-1"/>
      <w:r>
        <w:rPr>
          <w:rFonts w:ascii="Times New Roman" w:hAnsi="Times New Roman" w:eastAsia="Songti SC"/>
          <w:color w:val="000000"/>
          <w:sz w:val="21"/>
        </w:rPr>
        <w:t xml:space="preserve">[1] RONNEBERGER O, FISCHER P, BROX T. U-Net: Convolutional Networks for Biomedical Image Segmentation[C]//Medical Image Computing and Computer-Assisted Intervention – MICCAI 2015. Cham: Springer, 2015: 234-241. DOI: </w:t>
      </w:r>
      <w:r>
        <w:fldChar w:fldCharType="begin"/>
      </w:r>
      <w:r>
        <w:instrText xml:space="preserve"> HYPERLINK "https://doi.org/10.1007/978-3-319-24574-4_28" \h </w:instrText>
      </w:r>
      <w:r>
        <w:fldChar w:fldCharType="separate"/>
      </w:r>
      <w:r>
        <w:rPr>
          <w:rStyle w:val="20"/>
        </w:rPr>
        <w:t>10.1007/978-3-319-24574-4_28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28"/>
    <w:p w14:paraId="2120B0DE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29" w:name="ref-2"/>
      <w:r>
        <w:rPr>
          <w:rFonts w:ascii="Times New Roman" w:hAnsi="Times New Roman" w:eastAsia="Songti SC"/>
          <w:color w:val="000000"/>
          <w:sz w:val="21"/>
        </w:rPr>
        <w:t xml:space="preserve">[2] ZHANG Z, LIU Q, WANG Y. Road Extraction by Deep Residual U-Net[EB/OL]. (2017-11-29)[2026-10-28]. </w:t>
      </w:r>
      <w:r>
        <w:fldChar w:fldCharType="begin"/>
      </w:r>
      <w:r>
        <w:instrText xml:space="preserve"> HYPERLINK "https://arxiv.org/abs/1711.10684" \h </w:instrText>
      </w:r>
      <w:r>
        <w:fldChar w:fldCharType="separate"/>
      </w:r>
      <w:r>
        <w:rPr>
          <w:rStyle w:val="20"/>
        </w:rPr>
        <w:t>https://arxiv.org/abs/1711.10684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29"/>
    <w:p w14:paraId="66A97506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30" w:name="ref-3"/>
      <w:r>
        <w:rPr>
          <w:rFonts w:ascii="Times New Roman" w:hAnsi="Times New Roman" w:eastAsia="Songti SC"/>
          <w:color w:val="000000"/>
          <w:sz w:val="21"/>
        </w:rPr>
        <w:t xml:space="preserve">[3] OKTAY O, SCHLEMPER J, LE FOLGOC L, et al. Attention U-Net: Learning Where to Look for the Pancreas[EB/OL]. (2018-05-20)[2026-10-28]. </w:t>
      </w:r>
      <w:r>
        <w:fldChar w:fldCharType="begin"/>
      </w:r>
      <w:r>
        <w:instrText xml:space="preserve"> HYPERLINK "https://arxiv.org/abs/1804.03999" \h </w:instrText>
      </w:r>
      <w:r>
        <w:fldChar w:fldCharType="separate"/>
      </w:r>
      <w:r>
        <w:rPr>
          <w:rStyle w:val="20"/>
        </w:rPr>
        <w:t>https://arxiv.org/abs/1804.03999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30"/>
    <w:p w14:paraId="40F4B44D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31" w:name="ref-4"/>
      <w:r>
        <w:rPr>
          <w:rFonts w:ascii="Times New Roman" w:hAnsi="Times New Roman" w:eastAsia="Songti SC"/>
          <w:color w:val="000000"/>
          <w:sz w:val="21"/>
        </w:rPr>
        <w:t xml:space="preserve">[4] KIRILLOV A, MINTUN E, RAVI N, et al. Segment Anything[EB/OL]. (2023-04-05)[2026-10-28]. </w:t>
      </w:r>
      <w:r>
        <w:fldChar w:fldCharType="begin"/>
      </w:r>
      <w:r>
        <w:instrText xml:space="preserve"> HYPERLINK "https://arxiv.org/abs/2304.02643" \h </w:instrText>
      </w:r>
      <w:r>
        <w:fldChar w:fldCharType="separate"/>
      </w:r>
      <w:r>
        <w:rPr>
          <w:rStyle w:val="20"/>
        </w:rPr>
        <w:t>https://arxiv.org/abs/2304.02643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31"/>
    <w:p w14:paraId="5E9F05F0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32" w:name="ref-5"/>
      <w:r>
        <w:rPr>
          <w:rFonts w:ascii="Times New Roman" w:hAnsi="Times New Roman" w:eastAsia="Songti SC"/>
          <w:color w:val="000000"/>
          <w:sz w:val="21"/>
        </w:rPr>
        <w:t xml:space="preserve">[5] INTERNATIONAL SKIN IMAGING COLLABORATION. ISIC Challenge Datasets: 2018 Task 1[DB/OL].[2026-10-28]. </w:t>
      </w:r>
      <w:r>
        <w:fldChar w:fldCharType="begin"/>
      </w:r>
      <w:r>
        <w:instrText xml:space="preserve"> HYPERLINK "https://challenge.isic-archive.com/data/#2018" \h </w:instrText>
      </w:r>
      <w:r>
        <w:fldChar w:fldCharType="separate"/>
      </w:r>
      <w:r>
        <w:rPr>
          <w:rStyle w:val="20"/>
        </w:rPr>
        <w:t>https://challenge.isic-archive.com/data/#2018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32"/>
    <w:p w14:paraId="76026C36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33" w:name="ref-6"/>
      <w:r>
        <w:rPr>
          <w:rFonts w:ascii="Times New Roman" w:hAnsi="Times New Roman" w:eastAsia="Songti SC"/>
          <w:color w:val="000000"/>
          <w:sz w:val="21"/>
        </w:rPr>
        <w:t xml:space="preserve">[6] VASWANI A, SHAZEER N, PARMAR N, et al. Attention Is All You Need[C]//Advances in Neural Information Processing Systems. Vol. 30. 2017. </w:t>
      </w:r>
      <w:r>
        <w:fldChar w:fldCharType="begin"/>
      </w:r>
      <w:r>
        <w:instrText xml:space="preserve"> HYPERLINK "https://papers.nips.cc/paper/7181-attention-is-all-you-need" \h </w:instrText>
      </w:r>
      <w:r>
        <w:fldChar w:fldCharType="separate"/>
      </w:r>
      <w:r>
        <w:rPr>
          <w:rStyle w:val="20"/>
        </w:rPr>
        <w:t>https://papers.nips.cc/paper/7181-attention-is-all-you-need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33"/>
    <w:p w14:paraId="69C142A0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34" w:name="ref-7"/>
      <w:r>
        <w:rPr>
          <w:rFonts w:ascii="Times New Roman" w:hAnsi="Times New Roman" w:eastAsia="Songti SC"/>
          <w:color w:val="000000"/>
          <w:sz w:val="21"/>
        </w:rPr>
        <w:t xml:space="preserve">[7] DOSOVITSKIY A, BEYER L, KOLESNIKOV A, et al. An Image is Worth 16x16 Words: Transformers for Image Recognition at Scale[EB/OL]. (2021-06-03)[2026-10-28]. </w:t>
      </w:r>
      <w:r>
        <w:fldChar w:fldCharType="begin"/>
      </w:r>
      <w:r>
        <w:instrText xml:space="preserve"> HYPERLINK "https://arxiv.org/abs/2010.11929" \h </w:instrText>
      </w:r>
      <w:r>
        <w:fldChar w:fldCharType="separate"/>
      </w:r>
      <w:r>
        <w:rPr>
          <w:rStyle w:val="20"/>
        </w:rPr>
        <w:t>https://arxiv.org/abs/2010.11929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34"/>
    <w:p w14:paraId="08F86239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35" w:name="ref-8"/>
      <w:r>
        <w:rPr>
          <w:rFonts w:ascii="Times New Roman" w:hAnsi="Times New Roman" w:eastAsia="Songti SC"/>
          <w:color w:val="000000"/>
          <w:sz w:val="21"/>
        </w:rPr>
        <w:t xml:space="preserve">[8] META AI RESEARCH. Segment Anything: official implementation[CP/OL].[2026-10-28]. </w:t>
      </w:r>
      <w:r>
        <w:fldChar w:fldCharType="begin"/>
      </w:r>
      <w:r>
        <w:instrText xml:space="preserve"> HYPERLINK "https://github.com/facebookresearch/segment-anything" \h </w:instrText>
      </w:r>
      <w:r>
        <w:fldChar w:fldCharType="separate"/>
      </w:r>
      <w:r>
        <w:rPr>
          <w:rStyle w:val="20"/>
        </w:rPr>
        <w:t>https://github.com/facebookresearch/segment-anything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35"/>
    <w:p w14:paraId="2E0E4060">
      <w:pPr>
        <w:pStyle w:val="3"/>
        <w:keepLines/>
        <w:widowControl w:val="1"/>
        <w:spacing w:after="240" w:line="360" w:lineRule="auto" w:before="0"/>
        <w:ind w:left="397" w:hanging="397"/>
        <w:jc w:val="left"/>
        <w:autoSpaceDE w:val="0"/>
        <w:autoSpaceDN w:val="0"/>
      </w:pPr>
      <w:bookmarkStart w:id="36" w:name="ref-9"/>
      <w:r>
        <w:rPr>
          <w:rFonts w:ascii="Times New Roman" w:hAnsi="Times New Roman" w:eastAsia="Songti SC"/>
          <w:color w:val="000000"/>
          <w:sz w:val="21"/>
        </w:rPr>
        <w:t xml:space="preserve">[9] HU E J, SHEN Y, WALLIS P, et al. LoRA: Low-Rank Adaptation of Large Language Models[EB/OL]. (2021-10-16)[2026-10-28]. </w:t>
      </w:r>
      <w:r>
        <w:fldChar w:fldCharType="begin"/>
      </w:r>
      <w:r>
        <w:instrText xml:space="preserve"> HYPERLINK "https://arxiv.org/abs/2106.09685" \h </w:instrText>
      </w:r>
      <w:r>
        <w:fldChar w:fldCharType="separate"/>
      </w:r>
      <w:r>
        <w:rPr>
          <w:rStyle w:val="20"/>
        </w:rPr>
        <w:t>https://arxiv.org/abs/2106.09685</w:t>
      </w:r>
      <w:r>
        <w:rPr>
          <w:rStyle w:val="20"/>
        </w:rPr>
        <w:fldChar w:fldCharType="end"/>
      </w:r>
      <w:r>
        <w:rPr>
          <w:rFonts w:ascii="Times New Roman" w:hAnsi="Times New Roman" w:eastAsia="Songti SC"/>
          <w:color w:val="000000"/>
          <w:sz w:val="21"/>
        </w:rPr>
        <w:t>.</w:t>
      </w:r>
    </w:p>
    <w:bookmarkEnd w:id="26"/>
    <w:bookmarkEnd w:id="36"/>
    <w:p w14:paraId="4951270B">
      <w:pPr>
        <w:pStyle w:val="2"/>
        <w:keepNext/>
        <w:keepLines/>
        <w:pageBreakBefore/>
        <w:widowControl w:val="1"/>
        <w:autoSpaceDE w:val="0"/>
        <w:autoSpaceDN w:val="0"/>
        <w:spacing w:before="180" w:after="100" w:line="276" w:lineRule="auto"/>
      </w:pPr>
      <w:bookmarkStart w:id="37" w:name="附录-a-完整实验数据"/>
      <w:r>
        <w:rPr>
          <w:rFonts w:hint="eastAsia"/>
        </w:rPr>
        <w:t>附录</w:t>
      </w:r>
      <w:r>
        <w:t xml:space="preserve">A</w:t>
      </w:r>
      <w:r>
        <w:rPr>
          <w:rFonts w:hint="eastAsia"/>
        </w:rPr>
        <w:t>完整实验数据</w:t>
      </w:r>
      <w:bookmarkStart w:id="38" w:name="section7"/>
      <w:bookmarkEnd w:id="38"/>
    </w:p>
    <w:p w14:paraId="0DDC09B5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本附录保留支撑正文比较的完整数值。默认网格256；192/384消融在各自网格计分。除特别注明外，test</w:t>
      </w:r>
      <w:r>
        <w:t xml:space="preserve"> </w:t>
      </w:r>
      <w:r>
        <w:rPr>
          <w:rFonts w:hint="eastAsia"/>
        </w:rPr>
        <w:t>n=1000；种子间、折间与逐图离散度不可互换。正式JSON/CSV位于repository各实验outputs/logs；E2/E3及384输入已替换为本次复验，其他结果保留。</w:t>
      </w:r>
    </w:p>
    <w:p w14:paraId="2C24857F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表2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数据集划分与病灶前景分布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383"/>
        <w:gridCol w:w="1383"/>
        <w:gridCol w:w="1383"/>
        <w:gridCol w:w="1383"/>
        <w:gridCol w:w="1383"/>
      </w:tblGrid>
      <w:tr w14:paraId="1D3CCFD8">
        <w:trPr>
          <w:cantSplit w:val="1"/>
          <w:tblHeader/>
          <w:jc w:val="center"/>
        </w:trPr>
        <w:tc>
          <w:tcPr>
            <w:tcW w:w="2154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E6A81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划分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4697B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样本数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818F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前景均值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E57E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中位数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9E7D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 xml:space="preserve">5% / 95% </w:t>
            </w: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分位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103A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空</w:t>
            </w: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 xml:space="preserve"> / </w:t>
            </w: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多连通域</w:t>
            </w:r>
          </w:p>
        </w:tc>
      </w:tr>
      <w:tr w14:paraId="4E56E26D">
        <w:trPr>
          <w:cantSplit w:val="1"/>
          <w:jc w:val="center"/>
        </w:trPr>
        <w:tc>
          <w:tcPr>
            <w:tcW w:w="2154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27AE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train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5919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2594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8893B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21.40%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7CCA5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13.82%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2ED47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1.55% / 65.18%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6A76A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 / 731</w:t>
            </w:r>
          </w:p>
        </w:tc>
      </w:tr>
      <w:tr w14:paraId="22308683">
        <w:trPr>
          <w:cantSplit w:val="1"/>
          <w:jc w:val="center"/>
        </w:trPr>
        <w:tc>
          <w:tcPr>
            <w:tcW w:w="2154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E299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val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8085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6272E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26.84%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B137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21.63%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CD93C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4.81% / 71.26%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06430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 / 9</w:t>
            </w:r>
          </w:p>
        </w:tc>
      </w:tr>
      <w:tr w14:paraId="31C8ACDF">
        <w:trPr>
          <w:cantSplit w:val="1"/>
          <w:jc w:val="center"/>
        </w:trPr>
        <w:tc>
          <w:tcPr>
            <w:tcW w:w="2154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CEBB2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test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B7BF2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6A378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27.98%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DF620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20.98%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5F00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3.46% / 75.72%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8F4D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 / 142</w:t>
            </w:r>
          </w:p>
        </w:tc>
      </w:tr>
    </w:tbl>
    <w:p w14:paraId="0EA08089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表3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三种模型的测试性能汇总</w:t>
      </w:r>
    </w:p>
    <w:tbl>
      <w:tblPr>
        <w:tblStyle w:val="41"/>
        <w:tblW w:w="5000" w:type="pct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186"/>
        <w:gridCol w:w="1186"/>
        <w:gridCol w:w="1186"/>
        <w:gridCol w:w="1186"/>
        <w:gridCol w:w="1186"/>
        <w:gridCol w:w="1186"/>
      </w:tblGrid>
      <w:tr w14:paraId="201E4046">
        <w:trPr>
          <w:cantSplit w:val="1"/>
          <w:tblHeader/>
          <w:jc w:val="center"/>
        </w:trPr>
        <w:tc>
          <w:tcPr>
            <w:tcW w:w="204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7AFF3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模型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8DB45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 xml:space="preserve">Dice</w:t>
            </w: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均值±SD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E3EC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IoU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CB932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HD95 px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1BF0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Sensitivity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65759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Specificity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AE5F3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M</w:t>
            </w:r>
          </w:p>
        </w:tc>
      </w:tr>
      <w:tr w14:paraId="05C72F5F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A25D0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U-Net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57CC7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0.5939</w:t>
              <w:br/>
              <w:t>±0.0218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AB62A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0.4868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603B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83.10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6A47F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0.7115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7733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0.8011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0B09C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28.95</w:t>
            </w:r>
          </w:p>
        </w:tc>
      </w:tr>
      <w:tr w14:paraId="14851639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6D65E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F3F23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0.6077</w:t>
              <w:br/>
              <w:t>±0.0194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167D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0.4955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D0C7B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85.16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B1693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0.6948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803F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0.8244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75E72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30.35</w:t>
            </w:r>
          </w:p>
        </w:tc>
      </w:tr>
      <w:tr w14:paraId="38F86F31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9124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Attention U-Net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217DB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0.6080</w:t>
              <w:br/>
              <w:t>±0.0148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1E0D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0.4986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3588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88.10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F95D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0.6917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F7B6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0.8261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7B3E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29.47</w:t>
            </w:r>
          </w:p>
        </w:tc>
      </w:tr>
    </w:tbl>
    <w:p w14:paraId="67F41C72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表4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主实验逐种子结果与有效样本计数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53"/>
        <w:gridCol w:w="1053"/>
        <w:gridCol w:w="1053"/>
        <w:gridCol w:w="1053"/>
        <w:gridCol w:w="1053"/>
        <w:gridCol w:w="1053"/>
        <w:gridCol w:w="1053"/>
      </w:tblGrid>
      <w:tr w14:paraId="6778BE3C">
        <w:trPr>
          <w:cantSplit w:val="1"/>
          <w:tblHeader/>
          <w:jc w:val="center"/>
        </w:trPr>
        <w:tc>
          <w:tcPr>
            <w:tcW w:w="170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8415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tag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92EEE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Dice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E54F3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IoU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142F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HD95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0347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空预测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FD92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HD有效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BE901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轮数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233CF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日志峰值轮</w:t>
            </w:r>
          </w:p>
        </w:tc>
      </w:tr>
      <w:tr w14:paraId="5E335DA2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2B11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unet_s42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915F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0.6062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D686B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0.4900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9AF4A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93.89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1373D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1AE4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605D9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D4A7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</w:t>
            </w:r>
          </w:p>
        </w:tc>
      </w:tr>
      <w:tr w14:paraId="3D8B2EB8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E32C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unet_s2026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5D04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0.5687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04CD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0.4643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AC50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74.66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C2BC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66CC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979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64F0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CAD72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</w:tr>
      <w:tr w14:paraId="6E02F226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9AD50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unet_s7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00F5D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0.6067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CA2F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0.5061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069D1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80.74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AC65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7151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972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ADF4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C7252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</w:t>
            </w:r>
          </w:p>
        </w:tc>
      </w:tr>
      <w:tr w14:paraId="179A3D0D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3C2BA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resunet_s42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1C294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0.5857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5738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0.4721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B024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82.95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18A7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3F67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36625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C4FC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</w:t>
            </w:r>
          </w:p>
        </w:tc>
      </w:tr>
      <w:tr w14:paraId="31D09632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0710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resunet_s2026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E1E1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0.6150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AB0CA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0.5047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C5BD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84.83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5A3C3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506C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989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B0C48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396D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</w:tr>
      <w:tr w14:paraId="7ADD2B11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A93C7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resunet_s7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E29E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0.6225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1209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0.5098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83712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87.69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6EB6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6271E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39B2A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15CA7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</w:tr>
      <w:tr w14:paraId="0B139E52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8816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attn_unet_s42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D5D0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0.6226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FC993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0.5141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E3EA6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82.84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3D76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44C39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85CA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4579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</w:tr>
      <w:tr w14:paraId="07E8FA49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9FC05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attn_unet_s2026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597C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0.5930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E4BF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0.4788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432D8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103.05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B2A3A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D04D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7E27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EDD2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</w:tr>
      <w:tr w14:paraId="15356D65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30D9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attn_unet_s7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76A8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0.6085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10DA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0.5029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8962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78.41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D73C3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2AC56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985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B1AA5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A9B8B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</w:t>
            </w:r>
          </w:p>
        </w:tc>
      </w:tr>
    </w:tbl>
    <w:p w14:paraId="632CA7D7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表5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单种子消融结果与训练耗时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172"/>
        <w:gridCol w:w="1172"/>
        <w:gridCol w:w="1172"/>
        <w:gridCol w:w="1172"/>
        <w:gridCol w:w="1172"/>
        <w:gridCol w:w="1172"/>
      </w:tblGrid>
      <w:tr w14:paraId="7AAA80BC">
        <w:trPr>
          <w:cantSplit w:val="1"/>
          <w:tblHeader/>
          <w:jc w:val="center"/>
        </w:trPr>
        <w:tc>
          <w:tcPr>
            <w:tcW w:w="204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C7C9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设置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5A956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Dice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243F7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IoU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AD02E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HD95 px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5EF1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空</w:t>
            </w: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 xml:space="preserve"> / </w:t>
            </w: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HD有效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C160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轮数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3465F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总分钟</w:t>
            </w:r>
          </w:p>
        </w:tc>
      </w:tr>
      <w:tr w14:paraId="494C0B33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B8D26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747F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0.5313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42BD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0.4217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506D9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66.96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DAA9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33 / 967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7B93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C41A9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35.1</w:t>
            </w:r>
          </w:p>
        </w:tc>
      </w:tr>
      <w:tr w14:paraId="7451DD96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8A34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Dice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85B5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0.6026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4379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0.4920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7B967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84.66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E5C3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 / 995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4AB4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94AF4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27.5</w:t>
            </w:r>
          </w:p>
        </w:tc>
      </w:tr>
      <w:tr w14:paraId="1AE49A25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B92A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混合</w:t>
            </w: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 xml:space="preserve"> / 256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CDB5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0.6062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95B8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0.4900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8999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93.89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26C05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 / 994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10CF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9D4A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44.8</w:t>
            </w:r>
          </w:p>
        </w:tc>
      </w:tr>
      <w:tr w14:paraId="5FD8AE9A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6D88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 xml:space="preserve">192</w:t>
            </w: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输入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D107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0.6391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C73C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0.5254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B4508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59.22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74600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 / 996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76424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A3DD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30.5</w:t>
            </w:r>
          </w:p>
        </w:tc>
      </w:tr>
      <w:tr w14:paraId="4EF01334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2B62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 xml:space="preserve">384</w:t>
            </w: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输入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B17DE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F665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0.4753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0C58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124.24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F181C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15 / 985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684F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CDCA3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64.3</w:t>
            </w:r>
          </w:p>
        </w:tc>
      </w:tr>
      <w:tr w14:paraId="17330D2B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23305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g1/g2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B7659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0.5954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2881F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0.4769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114E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95.07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BC3A3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 / 999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B3C7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3372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35.0</w:t>
            </w:r>
          </w:p>
        </w:tc>
      </w:tr>
      <w:tr w14:paraId="0C0DAE8C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40E7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g4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B1BBA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0.5938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7E62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0.4892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8C0B6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70.48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28121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24 / 976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1FDF7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DFF8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48.2</w:t>
            </w:r>
          </w:p>
        </w:tc>
      </w:tr>
      <w:tr w14:paraId="6E135E3B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B02F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g1–g4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3978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0.6226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BAED1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0.5141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0C76B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82.84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921E2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 / 993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036C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D6F73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55.0</w:t>
            </w:r>
          </w:p>
        </w:tc>
      </w:tr>
    </w:tbl>
    <w:p w14:paraId="64CE6EB3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表6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两模型五折验证结果</w:t>
      </w:r>
    </w:p>
    <w:tbl>
      <w:tblPr>
        <w:tblStyle w:val="41"/>
        <w:tblW w:w="5000" w:type="pct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186"/>
        <w:gridCol w:w="1186"/>
        <w:gridCol w:w="1186"/>
        <w:gridCol w:w="1186"/>
        <w:gridCol w:w="1186"/>
        <w:gridCol w:w="1186"/>
      </w:tblGrid>
      <w:tr w14:paraId="302B416D">
        <w:trPr>
          <w:cantSplit w:val="1"/>
          <w:tblHeader/>
          <w:jc w:val="center"/>
        </w:trPr>
        <w:tc>
          <w:tcPr>
            <w:tcW w:w="204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613E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模型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6321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折0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3EDFE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折1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8BC31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折2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6BA60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折3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9DCB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折4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B7F4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均值±折间SD</w:t>
            </w:r>
          </w:p>
        </w:tc>
      </w:tr>
      <w:tr w14:paraId="6F23A1D2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2185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attn_unet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016BB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0.6000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1151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0.6206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EEC49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0.5723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FA176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0.5761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11DA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0.4467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898B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0.5631</w:t>
              <w:br/>
              <w:t>±0.0679</w:t>
            </w:r>
          </w:p>
        </w:tc>
      </w:tr>
      <w:tr w14:paraId="79039051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C53EC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13C08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0.6054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F024C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0.5615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95E56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0.5872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6F47E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0.5140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7285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0.5811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48FA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0.5698</w:t>
              <w:br/>
              <w:t>±0.0349</w:t>
            </w:r>
          </w:p>
        </w:tc>
      </w:tr>
    </w:tbl>
    <w:p w14:paraId="67DA0897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表7</w:t>
      </w:r>
      <w:r>
        <w:rPr>
          <w:rFonts w:ascii="Times New Roman" w:hAnsi="Times New Roman" w:eastAsia="Songti SC"/>
          <w:color w:val="000000"/>
          <w:sz w:val="21"/>
        </w:rPr>
        <w:t xml:space="preserve">　GT</w:t>
      </w:r>
      <w:r>
        <w:rPr>
          <w:rFonts w:hint="eastAsia" w:ascii="Times New Roman" w:hAnsi="Times New Roman" w:eastAsia="Songti SC"/>
          <w:color w:val="000000"/>
          <w:sz w:val="21"/>
        </w:rPr>
        <w:t>框下三阶段最终测试结果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172"/>
        <w:gridCol w:w="1172"/>
        <w:gridCol w:w="1172"/>
        <w:gridCol w:w="1172"/>
        <w:gridCol w:w="1172"/>
        <w:gridCol w:w="1172"/>
      </w:tblGrid>
      <w:tr w14:paraId="6DF69B60">
        <w:trPr>
          <w:cantSplit w:val="1"/>
          <w:tblHeader/>
          <w:jc w:val="center"/>
        </w:trPr>
        <w:tc>
          <w:tcPr>
            <w:tcW w:w="204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1051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阶段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1292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Dice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9FE9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IoU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20079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HD95 px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1560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Sensitivity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7101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Specificity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8D0D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优化参数</w:t>
            </w: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 xml:space="preserve">M</w:t>
            </w:r>
          </w:p>
        </w:tc>
      </w:tr>
      <w:tr w14:paraId="41CAD572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DE6E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B76D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0.8691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7BA45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0.7788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25131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24.31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39711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0.8469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2F7CD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0.8769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2CC18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</w:tr>
      <w:tr w14:paraId="64341B0E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2D339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25B79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0.9181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9378B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0.8529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685B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14.55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6D096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0.9463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C97C3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0.9443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9D65B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4.06</w:t>
            </w:r>
          </w:p>
        </w:tc>
      </w:tr>
      <w:tr w14:paraId="27299E71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C39F1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600D6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0.8970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5522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0.8204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5EEBB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17.78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F357F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0.9330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1FF2E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0.9603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58EFD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4.36</w:t>
            </w:r>
          </w:p>
        </w:tc>
      </w:tr>
    </w:tbl>
    <w:p w14:paraId="211FCCBF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表8</w:t>
      </w:r>
      <w:r>
        <w:rPr>
          <w:rFonts w:ascii="Times New Roman" w:hAnsi="Times New Roman" w:eastAsia="Songti SC"/>
          <w:color w:val="000000"/>
          <w:sz w:val="21"/>
        </w:rPr>
        <w:t xml:space="preserve">　GT</w:t>
      </w:r>
      <w:r>
        <w:rPr>
          <w:rFonts w:hint="eastAsia" w:ascii="Times New Roman" w:hAnsi="Times New Roman" w:eastAsia="Songti SC"/>
          <w:color w:val="000000"/>
          <w:sz w:val="21"/>
        </w:rPr>
        <w:t>框评测的有效计数与执行路径时延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383"/>
        <w:gridCol w:w="1383"/>
        <w:gridCol w:w="1383"/>
        <w:gridCol w:w="1383"/>
        <w:gridCol w:w="1383"/>
      </w:tblGrid>
      <w:tr w14:paraId="7CE2365C">
        <w:trPr>
          <w:cantSplit w:val="1"/>
          <w:tblHeader/>
          <w:jc w:val="center"/>
        </w:trPr>
        <w:tc>
          <w:tcPr>
            <w:tcW w:w="2154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2CA0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阶段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750B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空预测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9B10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HD有效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7066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Sens有效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F23BA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Spec有效</w:t>
            </w:r>
          </w:p>
        </w:tc>
        <w:tc>
          <w:tcPr>
            <w:tcW w:w="138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EDC2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原始ms/图</w:t>
            </w:r>
          </w:p>
        </w:tc>
      </w:tr>
      <w:tr w14:paraId="1D3045D2">
        <w:trPr>
          <w:cantSplit w:val="1"/>
          <w:jc w:val="center"/>
        </w:trPr>
        <w:tc>
          <w:tcPr>
            <w:tcW w:w="2154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7009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E1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3E67D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DB8F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927E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F31A0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998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3C614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15.01</w:t>
            </w:r>
          </w:p>
        </w:tc>
      </w:tr>
      <w:tr w14:paraId="7F13E605">
        <w:trPr>
          <w:cantSplit w:val="1"/>
          <w:jc w:val="center"/>
        </w:trPr>
        <w:tc>
          <w:tcPr>
            <w:tcW w:w="2154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D990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E2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D6DE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E26E1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88DF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BBCC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998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67EC9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15.08</w:t>
            </w:r>
          </w:p>
        </w:tc>
      </w:tr>
      <w:tr w14:paraId="0B0A6F89">
        <w:trPr>
          <w:cantSplit w:val="1"/>
          <w:jc w:val="center"/>
        </w:trPr>
        <w:tc>
          <w:tcPr>
            <w:tcW w:w="2154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8291A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E3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C809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02A79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5468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1000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F5990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998</w:t>
            </w:r>
          </w:p>
        </w:tc>
        <w:tc>
          <w:tcPr>
            <w:tcW w:w="138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FA2F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1909.35</w:t>
            </w:r>
          </w:p>
        </w:tc>
      </w:tr>
    </w:tbl>
    <w:p w14:paraId="6AD2D2F3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表9</w:t>
      </w:r>
      <w:r>
        <w:rPr>
          <w:rFonts w:ascii="Times New Roman" w:hAnsi="Times New Roman" w:eastAsia="Songti SC"/>
          <w:color w:val="000000"/>
          <w:sz w:val="21"/>
        </w:rPr>
        <w:t xml:space="preserve">　E2</w:t>
      </w:r>
      <w:r>
        <w:rPr>
          <w:rFonts w:hint="eastAsia" w:ascii="Times New Roman" w:hAnsi="Times New Roman" w:eastAsia="Songti SC"/>
          <w:color w:val="000000"/>
          <w:sz w:val="21"/>
        </w:rPr>
        <w:t>与</w:t>
      </w:r>
      <w:r>
        <w:rPr>
          <w:rFonts w:ascii="Times New Roman" w:hAnsi="Times New Roman" w:eastAsia="Songti SC"/>
          <w:color w:val="000000"/>
          <w:sz w:val="21"/>
        </w:rPr>
        <w:t xml:space="preserve">E3</w:t>
      </w:r>
      <w:r>
        <w:rPr>
          <w:rFonts w:hint="eastAsia" w:ascii="Times New Roman" w:hAnsi="Times New Roman" w:eastAsia="Songti SC"/>
          <w:color w:val="000000"/>
          <w:sz w:val="21"/>
        </w:rPr>
        <w:t>训练过程统计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172"/>
        <w:gridCol w:w="1172"/>
        <w:gridCol w:w="1172"/>
        <w:gridCol w:w="1172"/>
        <w:gridCol w:w="1172"/>
        <w:gridCol w:w="1172"/>
      </w:tblGrid>
      <w:tr w14:paraId="2FF46F4B">
        <w:trPr>
          <w:cantSplit w:val="1"/>
          <w:tblHeader/>
          <w:jc w:val="center"/>
        </w:trPr>
        <w:tc>
          <w:tcPr>
            <w:tcW w:w="204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9E2C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训练tag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8C78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轮数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A4222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峰值轮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CF8E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val峰值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DE64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总分钟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1201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平均秒/轮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6D105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中位秒/轮</w:t>
            </w:r>
          </w:p>
        </w:tc>
      </w:tr>
      <w:tr w14:paraId="4B22DE83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95D26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e2_box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C34EE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FAB2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2895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0.9205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C654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17.15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6CA6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51.5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1977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51.8</w:t>
            </w:r>
          </w:p>
        </w:tc>
      </w:tr>
      <w:tr w14:paraId="4F8F5811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9DE81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e3_lora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64BE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3AFB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4AE06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0.9040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1ED3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128.63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06E7D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1286.3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F4418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1159.3</w:t>
            </w:r>
          </w:p>
        </w:tc>
      </w:tr>
    </w:tbl>
    <w:p w14:paraId="1331968D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表10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三阶段十类提示的最终</w:t>
      </w:r>
      <w:r>
        <w:rPr>
          <w:rFonts w:ascii="Times New Roman" w:hAnsi="Times New Roman" w:eastAsia="Songti SC"/>
          <w:color w:val="000000"/>
          <w:sz w:val="21"/>
        </w:rPr>
        <w:t xml:space="preserve">Dice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27BD6B4">
        <w:trPr>
          <w:cantSplit w:val="1"/>
          <w:tblHeader/>
          <w:jc w:val="center"/>
        </w:trPr>
        <w:tc>
          <w:tcPr>
            <w:tcW w:w="2268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48133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20"/>
              </w:rPr>
              <w:t>提示</w:t>
            </w:r>
          </w:p>
        </w:tc>
        <w:tc>
          <w:tcPr>
            <w:tcW w:w="2268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CDD58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E1 Dice</w:t>
            </w:r>
          </w:p>
        </w:tc>
        <w:tc>
          <w:tcPr>
            <w:tcW w:w="2268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F7BB7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E2 Dice</w:t>
            </w:r>
          </w:p>
        </w:tc>
        <w:tc>
          <w:tcPr>
            <w:tcW w:w="2268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8868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E3 Dice</w:t>
            </w:r>
          </w:p>
        </w:tc>
      </w:tr>
      <w:tr w14:paraId="5B3E9879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6CD9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gt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E104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0.8691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AB9D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0.9181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A2374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0.8970</w:t>
            </w:r>
          </w:p>
        </w:tc>
      </w:tr>
      <w:tr w14:paraId="01050E78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F61A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pert-10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2EAE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0.7871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9BDFE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0.9127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B770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0.8923</w:t>
            </w:r>
          </w:p>
        </w:tc>
      </w:tr>
      <w:tr w14:paraId="66242595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AF18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pert-20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D30DE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0.5503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511C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0.8779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0E59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0.8611</w:t>
            </w:r>
          </w:p>
        </w:tc>
      </w:tr>
      <w:tr w14:paraId="19899482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705B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pert10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19B4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0.7855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9FF8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0.9073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B892E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0.8839</w:t>
            </w:r>
          </w:p>
        </w:tc>
      </w:tr>
      <w:tr w14:paraId="2FA6D657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1383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pert20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3202D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0.6188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8F3AB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0.8825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BD30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0.8690</w:t>
            </w:r>
          </w:p>
        </w:tc>
      </w:tr>
      <w:tr w14:paraId="22CF69B9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1219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point1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218CC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0.7292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14CD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0.8399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4ED36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0.8535</w:t>
            </w:r>
          </w:p>
        </w:tc>
      </w:tr>
      <w:tr w14:paraId="4555E5B5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CB55D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point3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C13A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0.7695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6E570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0.8569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25FF0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0.8605</w:t>
            </w:r>
          </w:p>
        </w:tc>
      </w:tr>
      <w:tr w14:paraId="4785FC32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6FAB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point5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4CFC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0.7902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7FA06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0.8638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BF75A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0.8611</w:t>
            </w:r>
          </w:p>
        </w:tc>
      </w:tr>
      <w:tr w14:paraId="734F51AB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C4F8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auto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9F27E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0.3837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1BDC2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0.6918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BF8E1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0.7559</w:t>
            </w:r>
          </w:p>
        </w:tc>
      </w:tr>
      <w:tr w14:paraId="212DB9D6">
        <w:trPr>
          <w:cantSplit w:val="1"/>
          <w:jc w:val="center"/>
        </w:trPr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26D91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auto10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72204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0.3556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249E8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0.6850</w:t>
            </w:r>
          </w:p>
        </w:tc>
        <w:tc>
          <w:tcPr>
            <w:tcW w:w="2268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AD71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0.7451</w:t>
            </w:r>
          </w:p>
        </w:tc>
      </w:tr>
    </w:tbl>
    <w:p w14:paraId="647B68FC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表11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自动框级联与上游模型的最终结果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172"/>
        <w:gridCol w:w="1172"/>
        <w:gridCol w:w="1172"/>
        <w:gridCol w:w="1172"/>
        <w:gridCol w:w="1172"/>
        <w:gridCol w:w="1172"/>
      </w:tblGrid>
      <w:tr w14:paraId="193BB76C">
        <w:trPr>
          <w:cantSplit w:val="1"/>
          <w:tblHeader/>
          <w:jc w:val="center"/>
        </w:trPr>
        <w:tc>
          <w:tcPr>
            <w:tcW w:w="204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7D10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模型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5BD4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提示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6143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Dice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1BA2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IoU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8ABC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HD95 px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5722A9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空预测</w:t>
            </w:r>
          </w:p>
        </w:tc>
        <w:tc>
          <w:tcPr>
            <w:tcW w:w="1172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989C2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HD有效</w:t>
            </w:r>
          </w:p>
        </w:tc>
      </w:tr>
      <w:tr w14:paraId="5ADD4CFB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E27F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unet_s42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5E5A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无提示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D2966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0.6062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6ACB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0.4900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6C22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93.89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0C49B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6BE47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994</w:t>
            </w:r>
          </w:p>
        </w:tc>
      </w:tr>
      <w:tr w14:paraId="2B7BADD3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D265E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AC97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2C1FE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0.3837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6D14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0.2983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E58C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93.41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10ED1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20C7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</w:tr>
      <w:tr w14:paraId="5A847324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ADE91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3E33F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3B3D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0.3556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98EC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0.2722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D386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95.84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35DB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9FDD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</w:tr>
      <w:tr w14:paraId="7F9A525E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8B2D9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A30CA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F34F4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0.6918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67BAC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0.5894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B867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55.10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ACC9D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F523F8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</w:tr>
      <w:tr w14:paraId="418F9983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3E56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4161D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7C30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0.6850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7C41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0.5815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4207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56.37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94363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7298E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</w:tr>
      <w:tr w14:paraId="2DF6CFA7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E44B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77905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B2B69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0.7559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6E1F36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0.6549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DCD78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49.86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CA2CF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DBF0A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</w:tr>
      <w:tr w14:paraId="05B7AE27">
        <w:trPr>
          <w:cantSplit w:val="1"/>
          <w:jc w:val="center"/>
        </w:trPr>
        <w:tc>
          <w:tcPr>
            <w:tcW w:w="204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CAF2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971BD0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auto10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5BE9B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0.7451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A1E6F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0.6421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9A2B84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52.34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79642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172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38973">
            <w:pPr>
              <w:pStyle w:val="24"/>
              <w:spacing w:before="0" w:after="0" w:line="26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</w:tr>
    </w:tbl>
    <w:p w14:paraId="111C3F88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  <w:pageBreakBefore w:val="1"/>
      </w:pPr>
      <w:r>
        <w:rPr>
          <w:rFonts w:hint="eastAsia" w:ascii="Times New Roman" w:hAnsi="Times New Roman" w:eastAsia="Songti SC"/>
          <w:color w:val="000000"/>
          <w:sz w:val="21"/>
        </w:rPr>
        <w:t>表12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全部正式训练运行明细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53"/>
        <w:gridCol w:w="1053"/>
        <w:gridCol w:w="1053"/>
        <w:gridCol w:w="1053"/>
        <w:gridCol w:w="1053"/>
        <w:gridCol w:w="1053"/>
        <w:gridCol w:w="1053"/>
      </w:tblGrid>
      <w:tr w14:paraId="23BDF3CD">
        <w:trPr>
          <w:cantSplit w:val="1"/>
          <w:tblHeader/>
          <w:jc w:val="center"/>
        </w:trPr>
        <w:tc>
          <w:tcPr>
            <w:tcW w:w="1701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9C68B6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tag</w:t>
            </w:r>
          </w:p>
        </w:tc>
        <w:tc>
          <w:tcPr>
            <w:tcW w:w="1053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67F5DC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seed</w:t>
            </w:r>
          </w:p>
        </w:tc>
        <w:tc>
          <w:tcPr>
            <w:tcW w:w="1053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99CBA1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size</w:t>
            </w:r>
          </w:p>
        </w:tc>
        <w:tc>
          <w:tcPr>
            <w:tcW w:w="1053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06E6BC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loss</w:t>
            </w:r>
          </w:p>
        </w:tc>
        <w:tc>
          <w:tcPr>
            <w:tcW w:w="1053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BEE739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门控</w:t>
            </w:r>
          </w:p>
        </w:tc>
        <w:tc>
          <w:tcPr>
            <w:tcW w:w="1053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997494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实际轮</w:t>
            </w:r>
          </w:p>
        </w:tc>
        <w:tc>
          <w:tcPr>
            <w:tcW w:w="1053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8D5901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日志停止</w:t>
            </w:r>
          </w:p>
        </w:tc>
        <w:tc>
          <w:tcPr>
            <w:tcW w:w="1053" w:type="dxa"/>
            <w:shd w:val="clear" w:color="auto" w:fill="EAF2F8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B485C3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峰值轮</w:t>
            </w:r>
          </w:p>
        </w:tc>
      </w:tr>
      <w:tr w14:paraId="326D2D18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CCF25B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attn_bottleneck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A03DF4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54AA9B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E58055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ECB3BB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bottleneck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D7F5E1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43D368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F6120E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</w:t>
            </w:r>
          </w:p>
        </w:tc>
      </w:tr>
      <w:tr w14:paraId="1E9DB714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687661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attn_skip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B30A9A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8727C5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968728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E41386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skip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764DCE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8238F8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C8189F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</w:tr>
      <w:tr w14:paraId="54B7460D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8110C9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attn_unet_s2026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29C5DD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2026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706D1B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546C7A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840BA6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FE99D7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C6B854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7BC75A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</w:tr>
      <w:tr w14:paraId="3D2A3DB8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0FCA0C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attn_unet_s42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70F40A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29A6FD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60BE07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432B52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9ACA43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58A590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8C7DB7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</w:tr>
      <w:tr w14:paraId="413A65B9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EC9EB8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attn_unet_s7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58E4AD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B4507E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DDEE92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33B4BC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D66B99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342E77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BEA8B9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</w:t>
            </w:r>
          </w:p>
        </w:tc>
      </w:tr>
      <w:tr w14:paraId="204AA974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8E0FB6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cv_attn_unet_f0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74B0A8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4A3DC8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C77684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7AF95D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14B2FF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1283FE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2EEDEC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</w:t>
            </w:r>
          </w:p>
        </w:tc>
      </w:tr>
      <w:tr w14:paraId="156A3977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BF9024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cv_attn_unet_f1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CAADD0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EAAF5F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5ECB6D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E8DD1C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E2BCF8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F0564D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17CADA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</w:tr>
      <w:tr w14:paraId="57560C32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096114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cv_attn_unet_f2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DB4DF9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F1EC43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40BE97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9EF7A5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AC2CE8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716ADC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D58C47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</w:t>
            </w:r>
          </w:p>
        </w:tc>
      </w:tr>
      <w:tr w14:paraId="7BA1B42B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CFB0EB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cv_attn_unet_f3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C23605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CAB501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1A02B9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08FB21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6FDDE1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38BE15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DDEE2F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</w:tr>
      <w:tr w14:paraId="04B39BEE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483048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cv_attn_unet_f4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CAEAF5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CD8811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857CCA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F0BF2C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all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F05E94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9900DC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145796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</w:tr>
      <w:tr w14:paraId="296182D8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1C8062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cv_resunet_f0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0526A1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C12270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13AA49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5AE8A1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05A8B1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1C1D1A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C24B26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</w:t>
            </w:r>
          </w:p>
        </w:tc>
      </w:tr>
      <w:tr w14:paraId="028DD2FC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EE57DF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cv_resunet_f1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0BB13F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CE5CFC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B3D938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7CE9AE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26C762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289C4A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394360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</w:tr>
      <w:tr w14:paraId="0ACCAB2B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3A0FAB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cv_resunet_f2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F79A23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E6103C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BFFCB9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84DF7B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A9B0F9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9194A4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881B82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</w:tr>
      <w:tr w14:paraId="6116E909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535D5B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cv_resunet_f3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A75CC1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D41E2C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8E35D7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B0F816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D2CC1F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E68C99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499039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</w:t>
            </w:r>
          </w:p>
        </w:tc>
      </w:tr>
      <w:tr w14:paraId="4EE1AE8B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B0C7E7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cv_resunet_f4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9792BB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E1E298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0453FA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52D857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2460A1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295591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582304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</w:tr>
      <w:tr w14:paraId="13FB1396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D8D6A9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loss_bce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D38F7D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B094F0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B28739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C7E3E8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81771B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59CF82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24F057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</w:tr>
      <w:tr w14:paraId="5CAE60C6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B0ED18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loss_dice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0D0F3A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18B357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9E96E0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204A8B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B7E9EF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43183BA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1F972B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</w:tr>
      <w:tr w14:paraId="78344578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77925E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resunet_s2026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5B2A0E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2026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01A729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D56D0C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B75E2A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603D61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AAFD02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919E37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</w:tr>
      <w:tr w14:paraId="01E7F68E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7E95E8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resunet_s42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3A8BEC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D4107C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A0A3DC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1632DD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AE7A61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08D33F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E539E4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11</w:t>
            </w:r>
          </w:p>
        </w:tc>
      </w:tr>
      <w:tr w14:paraId="77EE7C79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FAD567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resunet_s7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38CB4C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4C3423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A8B815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8F5F58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C60FB1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48C03B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C5C2F3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</w:tr>
      <w:tr w14:paraId="51388BAC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F37B22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size192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E70000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77B08B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192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A0AA60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2D59DE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CF8072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0AEA62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完成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B0885BB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6</w:t>
            </w:r>
          </w:p>
        </w:tc>
      </w:tr>
      <w:tr w14:paraId="79779C5F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0EEDCF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size384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00AA6C1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45784F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384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FF016E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BFD365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1B8C68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870C276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A0D1CD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</w:tr>
      <w:tr w14:paraId="2DBEE51C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49BD61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unet_s2026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883CAD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2026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7955E8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F975EC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649B83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C30552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4B0EE5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DF7D84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</w:tr>
      <w:tr w14:paraId="7FDD9254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C6157D0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unet_s42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A58BF7C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DE3832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37FFD5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0C12A89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CD5F40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40BB285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59A71A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</w:t>
            </w:r>
          </w:p>
        </w:tc>
      </w:tr>
      <w:tr w14:paraId="6C30D27D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1D2A7BE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unet_s7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15E397D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2B32992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5F209C7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bce_dice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CA2A034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—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33C19E8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258E9EF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hint="eastAsia" w:ascii="Times New Roman" w:hAnsi="Times New Roman" w:eastAsia="Songti SC"/>
                <w:b w:val="0"/>
                <w:color w:val="000000"/>
                <w:sz w:val="19"/>
              </w:rPr>
              <w:t>早停6</w:t>
            </w:r>
          </w:p>
        </w:tc>
        <w:tc>
          <w:tcPr>
            <w:tcW w:w="1053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213E523">
            <w:pPr>
              <w:pStyle w:val="24"/>
              <w:spacing w:before="0" w:after="0" w:line="29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</w:t>
            </w:r>
          </w:p>
        </w:tc>
      </w:tr>
    </w:tbl>
    <w:p w14:paraId="61F37EFE">
      <w:pPr>
        <w:pStyle w:val="3"/>
        <w:keepNext/>
        <w:keepLines/>
        <w:widowControl w:val="1"/>
        <w:spacing w:before="120" w:after="80" w:line="276" w:lineRule="auto"/>
        <w:ind w:firstLine="0"/>
        <w:jc w:val="center"/>
        <w:autoSpaceDE w:val="0"/>
        <w:autoSpaceDN w:val="0"/>
        <w:pageBreakBefore w:val="1"/>
      </w:pPr>
      <w:r>
        <w:rPr>
          <w:rFonts w:hint="eastAsia" w:ascii="Times New Roman" w:hAnsi="Times New Roman" w:eastAsia="Songti SC"/>
          <w:color w:val="000000"/>
          <w:sz w:val="21"/>
        </w:rPr>
        <w:t>表13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全部提示条件的</w:t>
      </w:r>
      <w:r>
        <w:rPr>
          <w:rFonts w:ascii="Times New Roman" w:hAnsi="Times New Roman" w:eastAsia="Songti SC"/>
          <w:color w:val="000000"/>
          <w:sz w:val="21"/>
        </w:rPr>
        <w:t xml:space="preserve">IoU</w:t>
      </w:r>
      <w:r>
        <w:rPr>
          <w:rFonts w:hint="eastAsia" w:ascii="Times New Roman" w:hAnsi="Times New Roman" w:eastAsia="Songti SC"/>
          <w:color w:val="000000"/>
          <w:sz w:val="21"/>
        </w:rPr>
        <w:t>与失效计数</w:t>
      </w:r>
    </w:p>
    <w:tbl>
      <w:tblPr>
        <w:tblStyle w:val="41"/>
        <w:tblW w:w="0" w:type="auto"/>
        <w:jc w:val="center"/>
        <w:tblBorders>
          <w:top w:val="single" w:color="BAC8D2" w:sz="4" w:space="0"/>
          <w:left w:val="single" w:color="BAC8D2" w:sz="4" w:space="0"/>
          <w:bottom w:val="single" w:color="BAC8D2" w:sz="4" w:space="0"/>
          <w:right w:val="single" w:color="BAC8D2" w:sz="4" w:space="0"/>
          <w:insideH w:val="single" w:color="BAC8D2" w:sz="4" w:space="0"/>
          <w:insideV w:val="single" w:color="BAC8D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53"/>
        <w:gridCol w:w="1053"/>
        <w:gridCol w:w="1053"/>
        <w:gridCol w:w="1053"/>
        <w:gridCol w:w="1053"/>
        <w:gridCol w:w="1053"/>
        <w:gridCol w:w="1053"/>
      </w:tblGrid>
      <w:tr w14:paraId="7E09848D">
        <w:trPr>
          <w:cantSplit w:val="1"/>
          <w:tblHeader/>
          <w:jc w:val="center"/>
        </w:trPr>
        <w:tc>
          <w:tcPr>
            <w:tcW w:w="1701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88350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阶段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0921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提示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80644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IoU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7609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HD95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04388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空预测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1AB4D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HD有效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B107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Sens有效</w:t>
            </w:r>
          </w:p>
        </w:tc>
        <w:tc>
          <w:tcPr>
            <w:tcW w:w="1053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EEDE4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hint="eastAsia" w:ascii="Times New Roman" w:hAnsi="Times New Roman" w:eastAsia="Songti SC"/>
                <w:b/>
                <w:color w:val="000000"/>
                <w:sz w:val="19"/>
              </w:rPr>
              <w:t>Spec有效</w:t>
            </w:r>
          </w:p>
        </w:tc>
      </w:tr>
      <w:tr w14:paraId="7A272CDD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2FC87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B7F4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gt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2B56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0.7788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886F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24.31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179C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AF30E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47342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FBE0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28536E0E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76B0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92500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pert-10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3792B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0.6625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20349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27.75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D797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DA5A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0C327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364FF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6806F616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DAAB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2815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pert-20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9247E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0.3887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A0B0B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42.03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B8CCD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F449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EEF0E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A697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353652BE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46CE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A051F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D1200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0.6805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DF5C3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35.44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DBF50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FD87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0745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CD219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0655E83A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B652B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1DD9B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pert20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6D4C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0.5039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0A87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51.48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272F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2605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2D64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9B558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2DDD48B4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4E8A3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F8EB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91A8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0.6241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4EA84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40.82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EFC27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58FF7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18BC7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640B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4BAC049D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CF88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2D5F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2658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0.6632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C966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42.21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7569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859D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AA7F2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931E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7D24953E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0B729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83AC4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3F4FB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0.6862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6794C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39.36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6A4C8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E24F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3F6E1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5DB11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4676D2BE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25D5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F63B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6E1DF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0.2983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8AD0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93.41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24560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A56F6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F99A5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892E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0E75BF8B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9324A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A1514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034EC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0.2722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9FCD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95.84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B21A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D0C99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7C1E7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DF876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7B27C2F4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D3C2C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5DC7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gt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69144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0.8529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7218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14.55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EBEA1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57248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B744E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BC54C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2729DD5B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29B1A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3F426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pert-10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46A45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0.8448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A995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15.04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D80F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4624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69341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2F8C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3EE3629A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F75A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D247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pert-20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2D51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0.7965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1EE0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18.97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E3E9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20B51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03644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891D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35D1CF74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2E6A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56EF6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7DCA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0.8360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3731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16.79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64415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5A3F4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CBAAE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661B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7C882077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3C7E2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E864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pert20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0AFE3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0.7988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6B98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20.88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1A95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7FF4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13F8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D0CA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107A52E2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E8D0B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F8C0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F1F10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0.7472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DDB46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28.44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2EF7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9659C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B3ED3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F412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53FE40D4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6EAA9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4387F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65471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0.7648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EBBFF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31.05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F3449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5D50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A2CC9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71EE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7293415B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BCED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991DF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C19F4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0.7748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614B7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30.25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BEE65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5FBCE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436E3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DC439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2FBA77A2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81C2A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850B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21785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0.5894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42D2F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55.10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F8889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C8A7E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57343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2089B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28458C70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AE7E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DE60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2645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0.5815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D4DB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56.37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02EA4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C56C6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38C5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78123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66ED314B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8F58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585C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gt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84A5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0.8204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1DC8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17.78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21D5E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96FD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9765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7E6B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5A4B1E86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519FA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698D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pert-10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90F74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0.8151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224C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17.71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7AAC0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75718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32B0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BC8C1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7DD01096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520D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A1B6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pert-20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FC055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0.7736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8032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21.70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E3FD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6D341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AD3C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595EF3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340F81DC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AF805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EF54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F573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0.8002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4F00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20.14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57A9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21566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C348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048F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332FE778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6BEE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9CDB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pert20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357AA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0.7788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6DDE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23.52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AC67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33603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F5A6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C24A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26AFC761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17B07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5E92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AB8E1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0.7674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6F91B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24.87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90704D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F9EEF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0D292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6EBD6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3C9767CE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3D5A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B45B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9AFD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0.7724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D6CAC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26.13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FE90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52DE0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49E38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1A55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72D7EE61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4BF2D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D253A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point5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5226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0.7732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B546B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25.95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3A0E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72A45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79B3AC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52E3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700ED723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C798D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C301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281AD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0.6549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57A0A6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49.86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48034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D9C82B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2C14D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FA312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tr w14:paraId="4A7FA717">
        <w:trPr>
          <w:cantSplit w:val="1"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603E47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e3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B99C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auto10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9C0F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0.6421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50B9A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52.34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0252DE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6307E9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1BD6F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1000</w:t>
            </w:r>
          </w:p>
        </w:tc>
        <w:tc>
          <w:tcPr>
            <w:tcW w:w="1053" w:type="dxa"/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72407A">
            <w:pPr>
              <w:pStyle w:val="24"/>
              <w:spacing w:before="0" w:after="0" w:line="270" w:lineRule="exact"/>
              <w:ind w:firstLine="0"/>
              <w:jc w:val="center"/>
              <w:autoSpaceDE w:val="0"/>
              <w:autoSpaceDN w:val="0"/>
              <w:keepNext w:val="0"/>
              <w:keepLines/>
              <w:widowControl w:val="1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998</w:t>
            </w:r>
          </w:p>
        </w:tc>
      </w:tr>
      <w:bookmarkEnd w:id="37"/>
    </w:tbl>
    <w:p w14:paraId="020238A5">
      <w:pPr>
        <w:pStyle w:val="2"/>
        <w:keepNext/>
        <w:keepLines/>
        <w:pageBreakBefore/>
        <w:widowControl w:val="1"/>
        <w:autoSpaceDE w:val="0"/>
        <w:autoSpaceDN w:val="0"/>
        <w:spacing w:before="180" w:after="100" w:line="276" w:lineRule="auto"/>
      </w:pPr>
      <w:bookmarkStart w:id="39" w:name="附录-b-修复验证与快速复现"/>
      <w:r>
        <w:rPr>
          <w:rFonts w:hint="eastAsia"/>
        </w:rPr>
        <w:t>附录</w:t>
      </w:r>
      <w:r>
        <w:t xml:space="preserve">B</w:t>
      </w:r>
      <w:r>
        <w:rPr>
          <w:rFonts w:hint="eastAsia"/>
        </w:rPr>
        <w:t>修复验证与快速复现</w:t>
      </w:r>
      <w:bookmarkStart w:id="40" w:name="section8"/>
      <w:bookmarkEnd w:id="40"/>
    </w:p>
    <w:p w14:paraId="18848ADC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41" w:name="b.1-修复验证"/>
      <w:r>
        <w:t xml:space="preserve">B.1</w:t>
      </w:r>
      <w:r>
        <w:rPr>
          <w:rFonts w:hint="eastAsia"/>
        </w:rPr>
        <w:t>修复验证</w:t>
      </w:r>
    </w:p>
    <w:p w14:paraId="2B4FD611">
      <w:pPr>
        <w:pStyle w:val="2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sz w:val="22"/>
        </w:rPr>
        <w:t>已完成E2</w:t>
      </w:r>
      <w:r>
        <w:rPr>
          <w:sz w:val="22"/>
        </w:rPr>
        <w:t xml:space="preserve"> </w:t>
      </w:r>
      <w:r>
        <w:rPr>
          <w:rFonts w:hint="eastAsia"/>
          <w:sz w:val="22"/>
        </w:rPr>
        <w:t>20轮、E3</w:t>
      </w:r>
      <w:r>
        <w:rPr>
          <w:sz w:val="22"/>
        </w:rPr>
        <w:t xml:space="preserve"> </w:t>
      </w:r>
      <w:r>
        <w:rPr>
          <w:rFonts w:hint="eastAsia"/>
          <w:sz w:val="22"/>
        </w:rPr>
        <w:t>6轮与384输入问题实验的独立训练，随后完成E2/E3各10类提示与384输入的1000张测试评测。训练best轮次、日志峰值和last元数据一致；其余卷积权重核对通过，未扩大重跑范围。回归检查及逐像素编码复用核验通过。完整命令、日志、逐样本结果和哈希见验证记录/完整复验及repository/RESULTS_RELEASE.json；历史文件单独归档。</w:t>
      </w:r>
    </w:p>
    <w:bookmarkEnd w:id="41"/>
    <w:p w14:paraId="532F7111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42" w:name="b.2-获取代码并查看结果"/>
      <w:r>
        <w:t xml:space="preserve">B.2</w:t>
      </w:r>
      <w:r>
        <w:rPr>
          <w:rFonts w:hint="eastAsia"/>
        </w:rPr>
        <w:t>获取代码并查看结果</w:t>
      </w:r>
    </w:p>
    <w:p w14:paraId="2EB94D93">
      <w:pPr>
        <w:pStyle w:val="2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sz w:val="22"/>
        </w:rPr>
        <w:t>仓库地址：https://github.com/12334rrr/graduate-machine-learning</w:t>
      </w:r>
      <w:r>
        <w:rPr>
          <w:sz w:val="22"/>
        </w:rPr>
        <w:t xml:space="preserve"/>
      </w:r>
      <w:r>
        <w:rPr>
          <w:rFonts w:hint="eastAsia"/>
          <w:sz w:val="22"/>
        </w:rPr>
        <w:t>。本次修复与报告尚未推送远端，精确复用请进入压缩包repository；远端基线为4ac7b1ec。先运行以下命令检查文件、重算最终汇总并打开门户：</w:t>
      </w:r>
    </w:p>
    <w:p w14:paraId="08D03C5D">
      <w:pPr>
        <w:pStyle w:val="49"/>
        <w:keepNext w:val="0"/>
        <w:keepLines/>
        <w:widowControl w:val="1"/>
        <w:autoSpaceDE w:val="0"/>
        <w:autoSpaceDN w:val="0"/>
        <w:spacing w:before="80" w:after="120" w:line="280" w:lineRule="exact"/>
        <w:ind w:firstLine="0" w:left="240" w:right="0"/>
        <w:jc w:val="left"/>
      </w:pPr>
      <w:r>
        <w:rPr>
          <w:rStyle w:val="48"/>
          <w:sz w:val="21"/>
        </w:rPr>
        <w:t>cd repository</w:t>
      </w:r>
      <w:r>
        <w:rPr>
          <w:sz w:val="21"/>
        </w:rPr>
        <w:br w:type="textWrapping"/>
      </w:r>
      <w:r>
        <w:rPr>
          <w:rStyle w:val="48"/>
          <w:sz w:val="21"/>
        </w:rPr>
        <w:t>python3 quick_reproduce.py check</w:t>
      </w:r>
      <w:r>
        <w:rPr>
          <w:sz w:val="21"/>
        </w:rPr>
        <w:br w:type="textWrapping"/>
      </w:r>
      <w:r>
        <w:rPr>
          <w:rStyle w:val="48"/>
          <w:sz w:val="21"/>
        </w:rPr>
        <w:t>python3 quick_reproduce.py summary</w:t>
      </w:r>
      <w:r>
        <w:rPr>
          <w:sz w:val="21"/>
        </w:rPr>
        <w:br w:type="textWrapping"/>
      </w:r>
      <w:r>
        <w:rPr>
          <w:rStyle w:val="48"/>
          <w:sz w:val="21"/>
        </w:rPr>
        <w:t>python3 quick_reproduce.py portal</w:t>
      </w:r>
    </w:p>
    <w:p w14:paraId="69EB2672">
      <w:pPr>
        <w:pStyle w:val="2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sz w:val="22"/>
        </w:rPr>
        <w:t>浏览器访问http://127.0.0.1:8800/#/hw1或#/hw2。结果展示仅依赖Python标准库，不需要数据、训练权重或问答密钥。</w:t>
      </w:r>
    </w:p>
    <w:bookmarkEnd w:id="42"/>
    <w:p w14:paraId="2CD70D47">
      <w:pPr>
        <w:pStyle w:val="4"/>
        <w:keepNext/>
        <w:keepLines/>
        <w:widowControl w:val="1"/>
        <w:autoSpaceDE w:val="0"/>
        <w:autoSpaceDN w:val="0"/>
        <w:spacing w:before="180" w:after="100" w:line="276" w:lineRule="auto"/>
      </w:pPr>
      <w:bookmarkStart w:id="43" w:name="b.3-训练与推理复验"/>
      <w:r>
        <w:t xml:space="preserve">B.3</w:t>
      </w:r>
      <w:r>
        <w:rPr>
          <w:rFonts w:hint="eastAsia"/>
        </w:rPr>
        <w:t>训练与推理复验</w:t>
      </w:r>
    </w:p>
    <w:p w14:paraId="70F49476">
      <w:pPr>
        <w:pStyle w:val="2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sz w:val="22"/>
        </w:rPr>
        <w:t>完整环境、下载、训练及十类提示命令见repository/QUICKSTART.md。保持hw1_unet、hw2_sam、dataset_hub同级，先准备ISIC数据和官方SAM</w:t>
      </w:r>
      <w:r>
        <w:rPr>
          <w:sz w:val="22"/>
        </w:rPr>
        <w:t xml:space="preserve"> </w:t>
      </w:r>
      <w:r>
        <w:rPr>
          <w:rFonts w:hint="eastAsia"/>
          <w:sz w:val="22"/>
        </w:rPr>
        <w:t>ViT-B权重，再执行隔离小规模验证：</w:t>
      </w:r>
    </w:p>
    <w:p w14:paraId="1E67696B">
      <w:pPr>
        <w:pStyle w:val="49"/>
        <w:keepNext w:val="0"/>
        <w:keepLines/>
        <w:widowControl w:val="1"/>
        <w:autoSpaceDE w:val="0"/>
        <w:autoSpaceDN w:val="0"/>
        <w:spacing w:before="80" w:after="120" w:line="280" w:lineRule="exact"/>
        <w:ind w:firstLine="0" w:left="240" w:right="0"/>
        <w:jc w:val="left"/>
      </w:pPr>
      <w:r>
        <w:rPr>
          <w:rStyle w:val="48"/>
          <w:sz w:val="21"/>
        </w:rPr>
        <w:t>python quick_reproduce.py smoke unet</w:t>
      </w:r>
      <w:r>
        <w:rPr>
          <w:sz w:val="21"/>
        </w:rPr>
        <w:br w:type="textWrapping"/>
      </w:r>
      <w:r>
        <w:rPr>
          <w:rStyle w:val="48"/>
          <w:sz w:val="21"/>
        </w:rPr>
        <w:t>python quick_reproduce.py smoke e1</w:t>
      </w:r>
    </w:p>
    <w:p w14:paraId="54A54666">
      <w:pPr>
        <w:pStyle w:val="23"/>
        <w:keepNext w:val="0"/>
        <w:keepLines w:val="0"/>
        <w:widowControl w:val="1"/>
        <w:autoSpaceDE w:val="0"/>
        <w:autoSpaceDN w:val="0"/>
        <w:spacing w:line="288" w:lineRule="auto" w:before="0" w:after="80"/>
      </w:pPr>
      <w:r>
        <w:rPr>
          <w:rFonts w:hint="eastAsia"/>
          <w:sz w:val="22"/>
        </w:rPr>
        <w:t>本次正式命令见repository/QUICKSTART.md。需要重训时使用独立副本和新输出目录，完整训练采用连续运行避免分段续跑改变随机轨迹。提交包提供E2/E3及384输入的推理权重，原始数据、官方SAM基础权重和嵌入需按说明准备。</w:t>
      </w:r>
    </w:p>
    <w:bookmarkEnd w:id="39"/>
    <w:bookmarkEnd w:id="43"/>
    <w:p w14:paraId="67D5553A">
      <w:pPr>
        <w:pStyle w:val="2"/>
        <w:keepNext/>
        <w:keepLines/>
        <w:pageBreakBefore/>
        <w:widowControl w:val="1"/>
        <w:autoSpaceDE w:val="0"/>
        <w:autoSpaceDN w:val="0"/>
        <w:spacing w:before="180" w:after="100" w:line="276" w:lineRule="auto"/>
      </w:pPr>
      <w:bookmarkStart w:id="44" w:name="附录-c-实际前端与电子图录"/>
      <w:r>
        <w:rPr>
          <w:rFonts w:hint="eastAsia"/>
        </w:rPr>
        <w:t>附录</w:t>
      </w:r>
      <w:r>
        <w:t xml:space="preserve">C</w:t>
      </w:r>
      <w:r>
        <w:rPr>
          <w:rFonts w:hint="eastAsia"/>
        </w:rPr>
        <w:t>实际前端与电子图录</w:t>
      </w:r>
      <w:bookmarkStart w:id="45" w:name="section9"/>
      <w:bookmarkEnd w:id="45"/>
    </w:p>
    <w:p w14:paraId="1513D2D4">
      <w:pPr>
        <w:pStyle w:val="23"/>
        <w:keepNext w:val="0"/>
        <w:keepLines w:val="0"/>
        <w:widowControl w:val="1"/>
        <w:autoSpaceDE w:val="0"/>
        <w:autoSpaceDN w:val="0"/>
        <w:spacing w:line="324" w:lineRule="auto" w:before="0" w:after="100"/>
      </w:pPr>
      <w:r>
        <w:rPr>
          <w:rFonts w:hint="eastAsia"/>
        </w:rPr>
        <w:t>前端把原始日志、源码和图片连接起来，用于复核实验。以下为本地实际页面截图；37张原始画廊图以原字节保留在随包电子图录，避免重复占用报告页面。截图重新采集于正式结果更新后的页面；配色、提示矩阵和三级联比较与正文一致。</w:t>
      </w:r>
    </w:p>
    <w:p w14:paraId="6B19520B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1619250"/>
            <wp:effectExtent l="0" t="0" r="0" b="0"/>
            <wp:docPr id="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98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D846F">
      <w:pPr>
        <w:pStyle w:val="3"/>
        <w:keepNext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图16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实际前端的卷积模型比较页面</w:t>
      </w:r>
    </w:p>
    <w:p w14:paraId="318730A4">
      <w:pPr>
        <w:pStyle w:val="3"/>
        <w:keepNext w:val="0"/>
        <w:keepLines/>
        <w:widowControl w:val="1"/>
        <w:spacing w:after="100" w:line="264" w:lineRule="auto" w:before="0"/>
        <w:ind w:firstLine="0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18"/>
        </w:rPr>
        <w:t>注：真实页面截图；JSON为指标来源。</w:t>
      </w:r>
    </w:p>
    <w:p w14:paraId="5278C9CE">
      <w:pPr>
        <w:pStyle w:val="3"/>
        <w:keepNext/>
        <w:keepLines/>
        <w:widowControl w:val="1"/>
        <w:spacing w:before="100" w:after="40" w:line="240" w:lineRule="auto"/>
        <w:ind w:firstLine="0"/>
        <w:jc w:val="center"/>
        <w:autoSpaceDE w:val="0"/>
        <w:autoSpaceDN w:val="0"/>
      </w:pPr>
      <w:r>
        <w:drawing>
          <wp:inline distT="0" distB="0" distL="114300" distR="114300">
            <wp:extent cx="5759450" cy="3277235"/>
            <wp:effectExtent l="0" t="0" r="0" b="0"/>
            <wp:docPr id="10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D7A51C">
      <w:pPr>
        <w:pStyle w:val="3"/>
        <w:keepNext/>
        <w:keepLines/>
        <w:widowControl w:val="1"/>
        <w:spacing w:before="40" w:after="120" w:line="264" w:lineRule="auto"/>
        <w:ind w:firstLine="0"/>
        <w:jc w:val="center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21"/>
        </w:rPr>
        <w:t>图17</w:t>
      </w:r>
      <w:r>
        <w:rPr>
          <w:rFonts w:ascii="Times New Roman" w:hAnsi="Times New Roman" w:eastAsia="Songti SC"/>
          <w:color w:val="000000"/>
          <w:sz w:val="21"/>
        </w:rPr>
        <w:t>　</w:t>
      </w:r>
      <w:r>
        <w:rPr>
          <w:rFonts w:hint="eastAsia" w:ascii="Times New Roman" w:hAnsi="Times New Roman" w:eastAsia="Songti SC"/>
          <w:color w:val="000000"/>
          <w:sz w:val="21"/>
        </w:rPr>
        <w:t>实际前端的SAM提示类型页面</w:t>
      </w:r>
    </w:p>
    <w:p w14:paraId="057143C1">
      <w:pPr>
        <w:pStyle w:val="3"/>
        <w:keepNext w:val="0"/>
        <w:keepLines/>
        <w:widowControl w:val="1"/>
        <w:spacing w:after="100" w:line="264" w:lineRule="auto" w:before="0"/>
        <w:ind w:firstLine="0"/>
        <w:autoSpaceDE w:val="0"/>
        <w:autoSpaceDN w:val="0"/>
      </w:pPr>
      <w:r>
        <w:rPr>
          <w:rFonts w:hint="eastAsia" w:ascii="Times New Roman" w:hAnsi="Times New Roman" w:eastAsia="Songti SC"/>
          <w:color w:val="000000"/>
          <w:sz w:val="18"/>
        </w:rPr>
        <w:t>注：页面与提示构造代码对应；原始图片目录见电子图录。</w:t>
      </w:r>
    </w:p>
    <w:bookmarkEnd w:id="0"/>
    <w:bookmarkEnd w:id="44"/>
    <w:sectPr>
      <w:headerReference r:id="rId5" w:type="default"/>
      <w:footerReference r:id="rId6" w:type="default"/>
      <w:footnotePr>
        <w:numRestart w:val="eachSect"/>
      </w:footnotePr>
      <w:pgSz w:w="11906" w:h="16838"/>
      <w:pgMar w:top="1417" w:right="1417" w:bottom="1417" w:left="1417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CCC77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1B6C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AFBF31DD"/>
    <w:rsid w:val="EDBF69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0" w:line="360" w:lineRule="auto"/>
      <w:ind w:firstLine="480"/>
      <w:autoSpaceDE w:val="0"/>
      <w:autoSpaceDN w:val="0"/>
    </w:pPr>
    <w:rPr>
      <w:rFonts w:ascii="Times New Roman" w:hAnsi="Times New Roman" w:eastAsia="Songti SC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200" w:after="120" w:line="312" w:lineRule="auto"/>
      <w:ind w:firstLine="0"/>
      <w:outlineLvl w:val="0"/>
      <w:autoSpaceDE w:val="0"/>
      <w:autoSpaceDN w:val="0"/>
    </w:pPr>
    <w:rPr>
      <w:rFonts w:asciiTheme="majorHAnsi" w:hAnsiTheme="majorHAnsi" w:eastAsiaTheme="majorEastAsia" w:cstheme="majorBidi"/>
      <w:b/>
      <w:color w:val="000000"/>
      <w:sz w:val="3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200" w:after="120" w:line="312" w:lineRule="auto"/>
      <w:ind w:firstLine="0"/>
      <w:outlineLvl w:val="1"/>
      <w:autoSpaceDE w:val="0"/>
      <w:autoSpaceDN w:val="0"/>
    </w:pPr>
    <w:rPr>
      <w:rFonts w:asciiTheme="majorHAnsi" w:hAnsiTheme="majorHAnsi" w:eastAsiaTheme="majorEastAsia" w:cstheme="majorBidi"/>
      <w:b/>
      <w:color w:val="000000"/>
      <w:sz w:val="26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00" w:after="120" w:line="312" w:lineRule="auto"/>
      <w:ind w:firstLine="0"/>
      <w:outlineLvl w:val="2"/>
      <w:autoSpaceDE w:val="0"/>
      <w:autoSpaceDN w:val="0"/>
    </w:pPr>
    <w:rPr>
      <w:rFonts w:ascii="Times New Roman" w:hAnsi="Times New Roman" w:eastAsiaTheme="majorEastAsia" w:cstheme="majorBidi"/>
      <w:b/>
      <w:color w:val="000000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  <w:autoSpaceDE w:val="0"/>
      <w:autoSpaceDN w:val="0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  <w:autoSpaceDE w:val="0"/>
      <w:autoSpaceDN w:val="0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  <w:autoSpaceDE w:val="0"/>
      <w:autoSpaceDN w:val="0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  <w:autoSpaceDE w:val="0"/>
      <w:autoSpaceDN w:val="0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  <w:autoSpaceDE w:val="0"/>
      <w:autoSpaceDN w:val="0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  <w:autoSpaceDE w:val="0"/>
      <w:autoSpaceDN w:val="0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widowControl/>
      <w:spacing w:before="180" w:after="0" w:line="360" w:lineRule="auto"/>
      <w:ind w:firstLine="480"/>
      <w:autoSpaceDE w:val="0"/>
      <w:autoSpaceDN w:val="0"/>
    </w:pPr>
    <w:rPr>
      <w:rFonts w:ascii="Times New Roman" w:hAnsi="Times New Roman" w:eastAsia="Songti SC"/>
      <w:sz w:val="24"/>
    </w:rPr>
  </w:style>
  <w:style w:type="paragraph" w:styleId="12">
    <w:name w:val="caption"/>
    <w:basedOn w:val="1"/>
    <w:uiPriority w:val="0"/>
    <w:pPr>
      <w:spacing w:before="0" w:after="120"/>
      <w:autoSpaceDE w:val="0"/>
      <w:autoSpaceDN w:val="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  <w:autoSpaceDE w:val="0"/>
      <w:autoSpaceDN w:val="0"/>
    </w:pPr>
  </w:style>
  <w:style w:type="paragraph" w:styleId="14">
    <w:name w:val="Date"/>
    <w:basedOn w:val="15"/>
    <w:next w:val="3"/>
    <w:qFormat/>
    <w:uiPriority w:val="0"/>
    <w:pPr>
      <w:keepNext/>
      <w:keepLines/>
      <w:autoSpaceDE w:val="0"/>
      <w:autoSpaceDN w:val="0"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keepNext/>
      <w:spacing w:before="200" w:after="120" w:line="312" w:lineRule="auto"/>
      <w:ind w:firstLine="0"/>
      <w:contextualSpacing/>
      <w:jc w:val="center"/>
      <w:autoSpaceDE w:val="0"/>
      <w:autoSpaceDN w:val="0"/>
    </w:pPr>
    <w:rPr>
      <w:rFonts w:asciiTheme="majorHAnsi" w:hAnsiTheme="majorHAnsi" w:eastAsiaTheme="majorEastAsia" w:cstheme="majorBidi"/>
      <w:b/>
      <w:color w:val="000000"/>
      <w:sz w:val="44"/>
      <w:szCs w:val="56"/>
    </w:rPr>
  </w:style>
  <w:style w:type="paragraph" w:styleId="16">
    <w:name w:val="Subtitle"/>
    <w:basedOn w:val="15"/>
    <w:next w:val="3"/>
    <w:link w:val="26"/>
    <w:qFormat/>
    <w:uiPriority w:val="11"/>
    <w:pPr>
      <w:autoSpaceDE w:val="0"/>
      <w:autoSpaceDN w:val="0"/>
    </w:pPr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pPr>
      <w:autoSpaceDE w:val="0"/>
      <w:autoSpaceDN w:val="0"/>
    </w:pPr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widowControl/>
      <w:spacing w:after="0" w:line="360" w:lineRule="auto"/>
      <w:ind w:firstLine="480"/>
      <w:autoSpaceDE w:val="0"/>
      <w:autoSpaceDN w:val="0"/>
    </w:pPr>
    <w:rPr>
      <w:rFonts w:ascii="Times New Roman" w:hAnsi="Times New Roman" w:eastAsia="Songti SC"/>
      <w:sz w:val="24"/>
    </w:rPr>
  </w:style>
  <w:style w:type="paragraph" w:customStyle="1" w:styleId="24">
    <w:name w:val="Compact"/>
    <w:basedOn w:val="3"/>
    <w:qFormat/>
    <w:uiPriority w:val="0"/>
    <w:pPr>
      <w:spacing w:before="36" w:after="36"/>
      <w:autoSpaceDE w:val="0"/>
      <w:autoSpaceDN w:val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  <w:autoSpaceDE w:val="0"/>
      <w:autoSpaceDN w:val="0"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  <w:autoSpaceDE w:val="0"/>
      <w:autoSpaceDN w:val="0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  <w:autoSpaceDE w:val="0"/>
      <w:autoSpaceDN w:val="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  <w:pPr>
      <w:autoSpaceDE w:val="0"/>
      <w:autoSpaceDN w:val="0"/>
    </w:pPr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  <w:autoSpaceDE w:val="0"/>
      <w:autoSpaceDN w:val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  <w:autoSpaceDE w:val="0"/>
      <w:autoSpaceDN w:val="0"/>
    </w:pPr>
    <w:rPr>
      <w:b/>
    </w:rPr>
  </w:style>
  <w:style w:type="paragraph" w:customStyle="1" w:styleId="43">
    <w:name w:val="Definition"/>
    <w:basedOn w:val="1"/>
    <w:uiPriority w:val="0"/>
    <w:pPr>
      <w:autoSpaceDE w:val="0"/>
      <w:autoSpaceDN w:val="0"/>
    </w:pPr>
  </w:style>
  <w:style w:type="paragraph" w:customStyle="1" w:styleId="44">
    <w:name w:val="Table Caption"/>
    <w:basedOn w:val="12"/>
    <w:uiPriority w:val="0"/>
    <w:pPr>
      <w:keepNext/>
      <w:autoSpaceDE w:val="0"/>
      <w:autoSpaceDN w:val="0"/>
    </w:pPr>
  </w:style>
  <w:style w:type="paragraph" w:customStyle="1" w:styleId="45">
    <w:name w:val="Image Caption"/>
    <w:basedOn w:val="12"/>
    <w:uiPriority w:val="0"/>
    <w:pPr>
      <w:autoSpaceDE w:val="0"/>
      <w:autoSpaceDN w:val="0"/>
    </w:pPr>
  </w:style>
  <w:style w:type="paragraph" w:customStyle="1" w:styleId="46">
    <w:name w:val="Figure"/>
    <w:basedOn w:val="1"/>
    <w:uiPriority w:val="0"/>
    <w:pPr>
      <w:autoSpaceDE w:val="0"/>
      <w:autoSpaceDN w:val="0"/>
    </w:pPr>
  </w:style>
  <w:style w:type="paragraph" w:customStyle="1" w:styleId="47">
    <w:name w:val="Captioned Figure"/>
    <w:basedOn w:val="46"/>
    <w:uiPriority w:val="0"/>
    <w:pPr>
      <w:keepNext/>
      <w:autoSpaceDE w:val="0"/>
      <w:autoSpaceDN w:val="0"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  <w:autoSpaceDE w:val="0"/>
      <w:autoSpaceDN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  <w:autoSpaceDE w:val="0"/>
      <w:autoSpaceDN w:val="0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83</Words>
  <Characters>475</Characters>
  <Lines>12</Lines>
  <Paragraphs>8</Paragraphs>
  <TotalTime>23</TotalTime>
  <ScaleCrop>false</ScaleCrop>
  <LinksUpToDate>false</LinksUpToDate>
  <CharactersWithSpaces>583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2026-10-29T15:53:00Z</dcterms:created>
  <dc:creator>王春博</dc:creator>
  <cp:lastModifiedBy>王春博</cp:lastModifiedBy>
  <dcterms:modified xsi:type="dcterms:W3CDTF">2026-10-29T16:39:55Z</dcterms:modified>
  <dc:title>皮肤病灶分割模型比较与自动提示级联实验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9B05461626119A8E9C05E36AEBF46C5D_42</vt:lpwstr>
  </property>
</Properties>
</file>