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9B5C" w14:textId="3E79587D" w:rsidR="00090E2D" w:rsidRPr="0079296E" w:rsidRDefault="007746D4" w:rsidP="0079296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79296E">
        <w:rPr>
          <w:rFonts w:ascii="宋体" w:eastAsia="宋体" w:hAnsi="宋体" w:hint="eastAsia"/>
          <w:b/>
          <w:bCs/>
          <w:sz w:val="28"/>
          <w:szCs w:val="28"/>
        </w:rPr>
        <w:t>8.5</w:t>
      </w:r>
      <w:r w:rsidRPr="0079296E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79296E">
        <w:rPr>
          <w:rFonts w:ascii="宋体" w:eastAsia="宋体" w:hAnsi="宋体" w:hint="eastAsia"/>
          <w:b/>
          <w:bCs/>
          <w:sz w:val="28"/>
          <w:szCs w:val="28"/>
        </w:rPr>
        <w:t>每日一记</w:t>
      </w:r>
    </w:p>
    <w:p w14:paraId="4115C3B6" w14:textId="77777777" w:rsidR="00090E2D" w:rsidRPr="0079296E" w:rsidRDefault="00090E2D" w:rsidP="0079296E">
      <w:pPr>
        <w:pStyle w:val="md-end-block"/>
        <w:spacing w:before="0" w:beforeAutospacing="0" w:after="288" w:afterAutospacing="0" w:line="360" w:lineRule="auto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动车组的构成</w:t>
      </w:r>
    </w:p>
    <w:p w14:paraId="7B01F082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司机室</w:t>
      </w:r>
    </w:p>
    <w:p w14:paraId="1474B1CD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LKJ-2000显示屏</w:t>
      </w:r>
    </w:p>
    <w:p w14:paraId="5BD5C1A4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ATP显示屏</w:t>
      </w:r>
    </w:p>
    <w:p w14:paraId="327284F3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操作杆</w:t>
      </w:r>
    </w:p>
    <w:p w14:paraId="6E6325FB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空调系统</w:t>
      </w:r>
    </w:p>
    <w:p w14:paraId="6CB507DD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室外热交换器</w:t>
      </w:r>
    </w:p>
    <w:p w14:paraId="77FBA8E3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压缩机</w:t>
      </w:r>
    </w:p>
    <w:p w14:paraId="0C8AF332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送风机</w:t>
      </w:r>
    </w:p>
    <w:p w14:paraId="49A079D7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热交换器</w:t>
      </w:r>
    </w:p>
    <w:p w14:paraId="2C6EFB2F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电加热器</w:t>
      </w:r>
    </w:p>
    <w:p w14:paraId="38A6F7E4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变频器</w:t>
      </w:r>
    </w:p>
    <w:p w14:paraId="7880BA0B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接触器盘</w:t>
      </w:r>
    </w:p>
    <w:p w14:paraId="7D6E3E7D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过滤器</w:t>
      </w:r>
    </w:p>
    <w:p w14:paraId="0960436A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网络系统</w:t>
      </w:r>
    </w:p>
    <w:p w14:paraId="4D06F2AD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lastRenderedPageBreak/>
        <w:t>辅助供电系统</w:t>
      </w:r>
    </w:p>
    <w:p w14:paraId="1E98C764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空气压缩机</w:t>
      </w:r>
    </w:p>
    <w:p w14:paraId="66261A6C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冷却通风机</w:t>
      </w:r>
    </w:p>
    <w:p w14:paraId="5ED08BEE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油泵水泵电机</w:t>
      </w:r>
    </w:p>
    <w:p w14:paraId="01951C7B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空气调节系统</w:t>
      </w:r>
    </w:p>
    <w:p w14:paraId="50724731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采暖设备</w:t>
      </w:r>
    </w:p>
    <w:p w14:paraId="4B21F898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照明设备</w:t>
      </w:r>
    </w:p>
    <w:p w14:paraId="714AC3B2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旅客服务设备</w:t>
      </w:r>
    </w:p>
    <w:p w14:paraId="5C4273C1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应急通风装置及维修供电</w:t>
      </w:r>
    </w:p>
    <w:p w14:paraId="7C5FA91F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功能</w:t>
      </w:r>
    </w:p>
    <w:p w14:paraId="7CE80DAF" w14:textId="77777777" w:rsidR="00090E2D" w:rsidRPr="0079296E" w:rsidRDefault="00090E2D" w:rsidP="0079296E">
      <w:pPr>
        <w:pStyle w:val="md-end-block"/>
        <w:numPr>
          <w:ilvl w:val="2"/>
          <w:numId w:val="1"/>
        </w:numPr>
        <w:spacing w:before="0" w:beforeAutospacing="0" w:after="288" w:afterAutospacing="0" w:line="360" w:lineRule="auto"/>
        <w:ind w:left="141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客室应急通风</w:t>
      </w:r>
    </w:p>
    <w:p w14:paraId="6D61E37D" w14:textId="77777777" w:rsidR="00090E2D" w:rsidRPr="0079296E" w:rsidRDefault="00090E2D" w:rsidP="0079296E">
      <w:pPr>
        <w:pStyle w:val="md-end-block"/>
        <w:numPr>
          <w:ilvl w:val="2"/>
          <w:numId w:val="1"/>
        </w:numPr>
        <w:spacing w:before="0" w:beforeAutospacing="0" w:after="288" w:afterAutospacing="0" w:line="360" w:lineRule="auto"/>
        <w:ind w:left="141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应急照明</w:t>
      </w:r>
    </w:p>
    <w:p w14:paraId="5F61286C" w14:textId="77777777" w:rsidR="00090E2D" w:rsidRPr="0079296E" w:rsidRDefault="00090E2D" w:rsidP="0079296E">
      <w:pPr>
        <w:pStyle w:val="md-end-block"/>
        <w:numPr>
          <w:ilvl w:val="2"/>
          <w:numId w:val="1"/>
        </w:numPr>
        <w:spacing w:before="0" w:beforeAutospacing="0" w:after="288" w:afterAutospacing="0" w:line="360" w:lineRule="auto"/>
        <w:ind w:left="141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应急显示</w:t>
      </w:r>
    </w:p>
    <w:p w14:paraId="2D58945F" w14:textId="77777777" w:rsidR="00090E2D" w:rsidRPr="0079296E" w:rsidRDefault="00090E2D" w:rsidP="0079296E">
      <w:pPr>
        <w:pStyle w:val="md-end-block"/>
        <w:numPr>
          <w:ilvl w:val="2"/>
          <w:numId w:val="1"/>
        </w:numPr>
        <w:spacing w:before="0" w:beforeAutospacing="0" w:after="288" w:afterAutospacing="0" w:line="360" w:lineRule="auto"/>
        <w:ind w:left="141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维修用电</w:t>
      </w:r>
    </w:p>
    <w:p w14:paraId="3A40D1E2" w14:textId="77777777" w:rsidR="00090E2D" w:rsidRPr="0079296E" w:rsidRDefault="00090E2D" w:rsidP="0079296E">
      <w:pPr>
        <w:pStyle w:val="md-end-block"/>
        <w:numPr>
          <w:ilvl w:val="2"/>
          <w:numId w:val="1"/>
        </w:numPr>
        <w:spacing w:before="0" w:beforeAutospacing="0" w:after="288" w:afterAutospacing="0" w:line="360" w:lineRule="auto"/>
        <w:ind w:left="141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通信</w:t>
      </w:r>
    </w:p>
    <w:p w14:paraId="63C0AEFB" w14:textId="77777777" w:rsidR="00090E2D" w:rsidRPr="0079296E" w:rsidRDefault="00090E2D" w:rsidP="0079296E">
      <w:pPr>
        <w:pStyle w:val="md-end-block"/>
        <w:numPr>
          <w:ilvl w:val="2"/>
          <w:numId w:val="1"/>
        </w:numPr>
        <w:spacing w:before="0" w:beforeAutospacing="0" w:after="288" w:afterAutospacing="0" w:line="360" w:lineRule="auto"/>
        <w:ind w:left="141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lastRenderedPageBreak/>
        <w:t>控制</w:t>
      </w:r>
    </w:p>
    <w:p w14:paraId="7205B1E4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供电牵引系统</w:t>
      </w:r>
    </w:p>
    <w:p w14:paraId="5F866872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接触网25kv 三相交流电</w:t>
      </w:r>
    </w:p>
    <w:p w14:paraId="4261B78E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车顶设备</w:t>
      </w:r>
    </w:p>
    <w:p w14:paraId="39CB89C5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车体</w:t>
      </w:r>
    </w:p>
    <w:p w14:paraId="50711379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车端的连接</w:t>
      </w:r>
    </w:p>
    <w:p w14:paraId="1D04D8AF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proofErr w:type="gramStart"/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车端连接</w:t>
      </w:r>
      <w:proofErr w:type="gramEnd"/>
    </w:p>
    <w:p w14:paraId="5DF96F3D" w14:textId="77777777" w:rsidR="00090E2D" w:rsidRPr="0079296E" w:rsidRDefault="00090E2D" w:rsidP="0079296E">
      <w:pPr>
        <w:pStyle w:val="md-end-block"/>
        <w:numPr>
          <w:ilvl w:val="2"/>
          <w:numId w:val="1"/>
        </w:numPr>
        <w:spacing w:before="0" w:beforeAutospacing="0" w:after="288" w:afterAutospacing="0" w:line="360" w:lineRule="auto"/>
        <w:ind w:left="141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电器连接</w:t>
      </w:r>
    </w:p>
    <w:p w14:paraId="452D63CE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通信控制来凝结</w:t>
      </w:r>
    </w:p>
    <w:p w14:paraId="795ABE35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制动控制连接</w:t>
      </w:r>
    </w:p>
    <w:p w14:paraId="293FF86F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AC380V供电连接2</w:t>
      </w:r>
    </w:p>
    <w:p w14:paraId="162A737F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DC24V供电连接</w:t>
      </w:r>
    </w:p>
    <w:p w14:paraId="759D9950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主电路连接</w:t>
      </w:r>
    </w:p>
    <w:p w14:paraId="3A0F8B86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车顶高压连接</w:t>
      </w:r>
    </w:p>
    <w:p w14:paraId="01685818" w14:textId="77777777" w:rsidR="00090E2D" w:rsidRPr="0079296E" w:rsidRDefault="00090E2D" w:rsidP="0079296E">
      <w:pPr>
        <w:pStyle w:val="md-end-block"/>
        <w:numPr>
          <w:ilvl w:val="2"/>
          <w:numId w:val="1"/>
        </w:numPr>
        <w:spacing w:before="0" w:beforeAutospacing="0" w:after="288" w:afterAutospacing="0" w:line="360" w:lineRule="auto"/>
        <w:ind w:left="141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 xml:space="preserve">车钩 </w:t>
      </w:r>
    </w:p>
    <w:p w14:paraId="1B083DFA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lastRenderedPageBreak/>
        <w:t>全自动车钩</w:t>
      </w:r>
    </w:p>
    <w:p w14:paraId="263E6E93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半自动勾连</w:t>
      </w:r>
    </w:p>
    <w:p w14:paraId="4424B8B5" w14:textId="77777777" w:rsidR="00090E2D" w:rsidRPr="0079296E" w:rsidRDefault="00090E2D" w:rsidP="0079296E">
      <w:pPr>
        <w:pStyle w:val="md-end-block"/>
        <w:numPr>
          <w:ilvl w:val="3"/>
          <w:numId w:val="1"/>
        </w:numPr>
        <w:spacing w:before="0" w:beforeAutospacing="0" w:after="288" w:afterAutospacing="0" w:line="360" w:lineRule="auto"/>
        <w:ind w:left="189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不架起车体就能拆装</w:t>
      </w:r>
    </w:p>
    <w:p w14:paraId="4FCEDBE5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转向架</w:t>
      </w:r>
    </w:p>
    <w:p w14:paraId="4DD6C425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车下悬吊设备</w:t>
      </w:r>
    </w:p>
    <w:p w14:paraId="432FA51F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牵引变压器</w:t>
      </w:r>
    </w:p>
    <w:p w14:paraId="15DE5C66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制动系统</w:t>
      </w:r>
    </w:p>
    <w:p w14:paraId="0E8B6922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空气压缩机</w:t>
      </w:r>
    </w:p>
    <w:p w14:paraId="154CFA0C" w14:textId="77777777" w:rsidR="00090E2D" w:rsidRPr="0079296E" w:rsidRDefault="00090E2D" w:rsidP="0079296E">
      <w:pPr>
        <w:pStyle w:val="md-end-block"/>
        <w:numPr>
          <w:ilvl w:val="0"/>
          <w:numId w:val="1"/>
        </w:numPr>
        <w:spacing w:before="0" w:beforeAutospacing="0" w:after="288" w:afterAutospacing="0" w:line="360" w:lineRule="auto"/>
        <w:ind w:left="45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车内设备</w:t>
      </w:r>
    </w:p>
    <w:p w14:paraId="452156C8" w14:textId="77777777" w:rsidR="00090E2D" w:rsidRPr="0079296E" w:rsidRDefault="00090E2D" w:rsidP="0079296E">
      <w:pPr>
        <w:pStyle w:val="md-end-block"/>
        <w:numPr>
          <w:ilvl w:val="1"/>
          <w:numId w:val="1"/>
        </w:numPr>
        <w:spacing w:before="0" w:beforeAutospacing="0" w:after="288" w:afterAutospacing="0" w:line="360" w:lineRule="auto"/>
        <w:ind w:left="936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 xml:space="preserve">风 水 </w:t>
      </w:r>
      <w:proofErr w:type="gramStart"/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电冷</w:t>
      </w:r>
      <w:proofErr w:type="gramEnd"/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 xml:space="preserve"> 门窗 卫生间</w:t>
      </w:r>
    </w:p>
    <w:p w14:paraId="168D9309" w14:textId="751F1FF2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8014822" w14:textId="74391518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E4ECB7B" w14:textId="50447712" w:rsidR="007746D4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6D98DF34" w14:textId="1CB7BCC9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FD23E44" w14:textId="4FAB88F9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2B2A33C" w14:textId="1A2CE20E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9EAEC70" w14:textId="77777777" w:rsidR="0079296E" w:rsidRP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2C94EFD4" w14:textId="58F782F6" w:rsidR="007746D4" w:rsidRPr="0079296E" w:rsidRDefault="007746D4" w:rsidP="0079296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79296E">
        <w:rPr>
          <w:rFonts w:ascii="宋体" w:eastAsia="宋体" w:hAnsi="宋体" w:hint="eastAsia"/>
          <w:b/>
          <w:bCs/>
          <w:sz w:val="28"/>
          <w:szCs w:val="28"/>
        </w:rPr>
        <w:lastRenderedPageBreak/>
        <w:t>8.6</w:t>
      </w:r>
      <w:r w:rsidRPr="0079296E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79296E">
        <w:rPr>
          <w:rFonts w:ascii="宋体" w:eastAsia="宋体" w:hAnsi="宋体" w:hint="eastAsia"/>
          <w:b/>
          <w:bCs/>
          <w:sz w:val="28"/>
          <w:szCs w:val="28"/>
        </w:rPr>
        <w:t>每日一记</w:t>
      </w:r>
    </w:p>
    <w:p w14:paraId="0955B4A5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>ACC：自动售检票系统的清分中心（AFC Clearing Center）</w:t>
      </w:r>
    </w:p>
    <w:p w14:paraId="6B796E65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 xml:space="preserve"> AFC：自动售检票系统（Auto Fare Collection） </w:t>
      </w:r>
    </w:p>
    <w:p w14:paraId="3A2C4FF2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 xml:space="preserve">ATS：列车自动监控（Automatic Train Supervision） </w:t>
      </w:r>
    </w:p>
    <w:p w14:paraId="17898F06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 xml:space="preserve">BAS：环境与设备监控系统（Building Automation System） </w:t>
      </w:r>
    </w:p>
    <w:p w14:paraId="31CD9343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 xml:space="preserve">CPU：中央处理机（Central Processing Unit） </w:t>
      </w:r>
    </w:p>
    <w:p w14:paraId="60B6C8B9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>DMS：设备维修管理系统（Device Maintenance Management System） GE：千兆以太网（Gigabit Ethernet）</w:t>
      </w:r>
    </w:p>
    <w:p w14:paraId="1B6F4301" w14:textId="2998736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>IaaS：基础设施即服务（Infrastructure as a Service）</w:t>
      </w:r>
    </w:p>
    <w:p w14:paraId="035094BD" w14:textId="4B12C18F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>IBP：综合后备盘（Integrated Backup Panel）</w:t>
      </w:r>
    </w:p>
    <w:p w14:paraId="123D5FB6" w14:textId="2136B6E2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 xml:space="preserve">ISCS：综合监控系统（Integrated Supervisory Control System） IT：信息技术（Information Technology） </w:t>
      </w:r>
    </w:p>
    <w:p w14:paraId="6DB1B9B1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 xml:space="preserve">LC：线路中心（Line Center） </w:t>
      </w:r>
    </w:p>
    <w:p w14:paraId="7DD9A25D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 xml:space="preserve">LTE-M：城市轨道交通长期演进系统（Long Term Evolution-Metro） MLC：多线路中心（Multiple Lines Center） </w:t>
      </w:r>
    </w:p>
    <w:p w14:paraId="34200E5E" w14:textId="4CD40BE8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 xml:space="preserve">NMS：网络管理系统（Network Management System） </w:t>
      </w:r>
    </w:p>
    <w:p w14:paraId="2A67EA8A" w14:textId="562DBFB3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/>
          <w:sz w:val="28"/>
          <w:szCs w:val="28"/>
        </w:rPr>
        <w:t>PaaS：平台即服务（Platform as a Service）</w:t>
      </w:r>
    </w:p>
    <w:p w14:paraId="4982737A" w14:textId="588FF1D6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FF4B355" w14:textId="4990B372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F410803" w14:textId="0CDD2EA3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33648B1" w14:textId="647D42A7" w:rsidR="007746D4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472E2D3" w14:textId="77777777" w:rsidR="0079296E" w:rsidRP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266AC1C7" w14:textId="3EAAA096" w:rsidR="007746D4" w:rsidRPr="0079296E" w:rsidRDefault="007746D4" w:rsidP="0079296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79296E">
        <w:rPr>
          <w:rFonts w:ascii="宋体" w:eastAsia="宋体" w:hAnsi="宋体" w:hint="eastAsia"/>
          <w:b/>
          <w:bCs/>
          <w:sz w:val="28"/>
          <w:szCs w:val="28"/>
        </w:rPr>
        <w:lastRenderedPageBreak/>
        <w:t>8.7</w:t>
      </w:r>
      <w:r w:rsidRPr="0079296E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79296E">
        <w:rPr>
          <w:rFonts w:ascii="宋体" w:eastAsia="宋体" w:hAnsi="宋体" w:hint="eastAsia"/>
          <w:b/>
          <w:bCs/>
          <w:sz w:val="28"/>
          <w:szCs w:val="28"/>
        </w:rPr>
        <w:t>每日一记</w:t>
      </w:r>
    </w:p>
    <w:p w14:paraId="1020355F" w14:textId="3461BE54" w:rsidR="00090E2D" w:rsidRPr="0079296E" w:rsidRDefault="00090E2D" w:rsidP="0079296E">
      <w:pPr>
        <w:pStyle w:val="md-end-block"/>
        <w:spacing w:before="0" w:beforeAutospacing="0" w:after="288" w:afterAutospacing="0" w:line="360" w:lineRule="auto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 w:hint="eastAsia"/>
          <w:color w:val="000000" w:themeColor="text1"/>
          <w:sz w:val="28"/>
          <w:szCs w:val="28"/>
        </w:rPr>
        <w:t>调度员</w:t>
      </w: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调整方法</w:t>
      </w:r>
    </w:p>
    <w:p w14:paraId="3EAC3C61" w14:textId="77777777" w:rsidR="00090E2D" w:rsidRPr="0079296E" w:rsidRDefault="00090E2D" w:rsidP="0079296E">
      <w:pPr>
        <w:pStyle w:val="md-end-block"/>
        <w:numPr>
          <w:ilvl w:val="0"/>
          <w:numId w:val="2"/>
        </w:numPr>
        <w:spacing w:before="0" w:beforeAutospacing="0" w:after="288" w:afterAutospacing="0" w:line="360" w:lineRule="auto"/>
        <w:ind w:left="312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利用储备能力和冗余时间</w:t>
      </w:r>
    </w:p>
    <w:p w14:paraId="709517EC" w14:textId="77777777" w:rsidR="00090E2D" w:rsidRPr="0079296E" w:rsidRDefault="00090E2D" w:rsidP="0079296E">
      <w:pPr>
        <w:pStyle w:val="md-end-block"/>
        <w:numPr>
          <w:ilvl w:val="0"/>
          <w:numId w:val="2"/>
        </w:numPr>
        <w:spacing w:before="0" w:beforeAutospacing="0" w:after="288" w:afterAutospacing="0" w:line="360" w:lineRule="auto"/>
        <w:ind w:left="312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压缩停战时间</w:t>
      </w:r>
    </w:p>
    <w:p w14:paraId="22C3ABE7" w14:textId="77777777" w:rsidR="00090E2D" w:rsidRPr="0079296E" w:rsidRDefault="00090E2D" w:rsidP="0079296E">
      <w:pPr>
        <w:pStyle w:val="md-end-block"/>
        <w:numPr>
          <w:ilvl w:val="0"/>
          <w:numId w:val="2"/>
        </w:numPr>
        <w:spacing w:before="0" w:beforeAutospacing="0" w:after="288" w:afterAutospacing="0" w:line="360" w:lineRule="auto"/>
        <w:ind w:left="312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运行速度的控制与调整</w:t>
      </w:r>
    </w:p>
    <w:p w14:paraId="47A67770" w14:textId="77777777" w:rsidR="00090E2D" w:rsidRPr="0079296E" w:rsidRDefault="00090E2D" w:rsidP="0079296E">
      <w:pPr>
        <w:pStyle w:val="md-end-block"/>
        <w:numPr>
          <w:ilvl w:val="0"/>
          <w:numId w:val="2"/>
        </w:numPr>
        <w:spacing w:before="0" w:beforeAutospacing="0" w:after="288" w:afterAutospacing="0" w:line="360" w:lineRule="auto"/>
        <w:ind w:left="312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变更</w:t>
      </w:r>
      <w:proofErr w:type="gramStart"/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越行点</w:t>
      </w:r>
      <w:proofErr w:type="gramEnd"/>
    </w:p>
    <w:p w14:paraId="5840D835" w14:textId="77777777" w:rsidR="00090E2D" w:rsidRPr="0079296E" w:rsidRDefault="00090E2D" w:rsidP="0079296E">
      <w:pPr>
        <w:pStyle w:val="md-end-block"/>
        <w:numPr>
          <w:ilvl w:val="0"/>
          <w:numId w:val="2"/>
        </w:numPr>
        <w:spacing w:before="0" w:beforeAutospacing="0" w:after="288" w:afterAutospacing="0" w:line="360" w:lineRule="auto"/>
        <w:ind w:left="312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利用备用运行线</w:t>
      </w:r>
    </w:p>
    <w:p w14:paraId="4AB33EE6" w14:textId="77777777" w:rsidR="00090E2D" w:rsidRPr="0079296E" w:rsidRDefault="00090E2D" w:rsidP="0079296E">
      <w:pPr>
        <w:pStyle w:val="md-end-block"/>
        <w:numPr>
          <w:ilvl w:val="0"/>
          <w:numId w:val="2"/>
        </w:numPr>
        <w:spacing w:before="0" w:beforeAutospacing="0" w:after="288" w:afterAutospacing="0" w:line="360" w:lineRule="auto"/>
        <w:ind w:left="312" w:firstLine="0"/>
        <w:rPr>
          <w:rFonts w:cs="Microsoft Sans Serif"/>
          <w:color w:val="000000" w:themeColor="text1"/>
          <w:sz w:val="28"/>
          <w:szCs w:val="28"/>
        </w:rPr>
      </w:pPr>
      <w:r w:rsidRPr="0079296E">
        <w:rPr>
          <w:rStyle w:val="md-plain"/>
          <w:rFonts w:cs="Microsoft Sans Serif"/>
          <w:color w:val="000000" w:themeColor="text1"/>
          <w:sz w:val="28"/>
          <w:szCs w:val="28"/>
        </w:rPr>
        <w:t>临时停运</w:t>
      </w:r>
    </w:p>
    <w:p w14:paraId="2B95A1BE" w14:textId="253D7A28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65526F3" w14:textId="4BC40CCC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B2BC3C1" w14:textId="19018E32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6BB8C7CA" w14:textId="2AD56FFE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936346B" w14:textId="0F85E236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E43F654" w14:textId="304DBDA6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1714792" w14:textId="61D383B4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A707E2A" w14:textId="18A4C8B5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2EDAB9F9" w14:textId="77777777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7963289" w14:textId="77777777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F53DEEC" w14:textId="77777777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6871BFD" w14:textId="0F9BE7D8" w:rsidR="007746D4" w:rsidRPr="0079296E" w:rsidRDefault="007746D4" w:rsidP="0079296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79296E">
        <w:rPr>
          <w:rFonts w:ascii="宋体" w:eastAsia="宋体" w:hAnsi="宋体" w:hint="eastAsia"/>
          <w:b/>
          <w:bCs/>
          <w:sz w:val="28"/>
          <w:szCs w:val="28"/>
        </w:rPr>
        <w:lastRenderedPageBreak/>
        <w:t>8.</w:t>
      </w:r>
      <w:r w:rsidR="00EA163A" w:rsidRPr="0079296E">
        <w:rPr>
          <w:rFonts w:ascii="宋体" w:eastAsia="宋体" w:hAnsi="宋体" w:hint="eastAsia"/>
          <w:b/>
          <w:bCs/>
          <w:sz w:val="28"/>
          <w:szCs w:val="28"/>
        </w:rPr>
        <w:t>8</w:t>
      </w:r>
      <w:r w:rsidRPr="0079296E">
        <w:rPr>
          <w:rFonts w:ascii="宋体" w:eastAsia="宋体" w:hAnsi="宋体" w:hint="eastAsia"/>
          <w:b/>
          <w:bCs/>
          <w:sz w:val="28"/>
          <w:szCs w:val="28"/>
        </w:rPr>
        <w:t>每日一记</w:t>
      </w:r>
    </w:p>
    <w:p w14:paraId="4F994CC6" w14:textId="77777777" w:rsidR="00090E2D" w:rsidRPr="0079296E" w:rsidRDefault="00090E2D" w:rsidP="0079296E">
      <w:pPr>
        <w:adjustRightInd w:val="0"/>
        <w:snapToGrid w:val="0"/>
        <w:spacing w:line="360" w:lineRule="auto"/>
        <w:rPr>
          <w:rFonts w:ascii="宋体" w:eastAsia="宋体" w:hAnsi="宋体" w:cs="仿宋"/>
          <w:snapToGrid w:val="0"/>
          <w:color w:val="000000"/>
          <w:kern w:val="0"/>
          <w:sz w:val="28"/>
          <w:szCs w:val="28"/>
        </w:rPr>
      </w:pPr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基于城市轨道交通技术特点和行业经验，运营安全风险按照业务板块分为设施监测养护、设备运行维修、行车组织、客运组织、运行环境等。</w:t>
      </w:r>
    </w:p>
    <w:p w14:paraId="47233553" w14:textId="77777777" w:rsidR="00090E2D" w:rsidRPr="0079296E" w:rsidRDefault="00090E2D" w:rsidP="0079296E">
      <w:pPr>
        <w:adjustRightInd w:val="0"/>
        <w:snapToGrid w:val="0"/>
        <w:spacing w:line="360" w:lineRule="auto"/>
        <w:rPr>
          <w:rFonts w:ascii="宋体" w:eastAsia="宋体" w:hAnsi="宋体" w:cs="仿宋"/>
          <w:snapToGrid w:val="0"/>
          <w:color w:val="000000"/>
          <w:kern w:val="0"/>
          <w:sz w:val="28"/>
          <w:szCs w:val="28"/>
        </w:rPr>
      </w:pPr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（一）设施监测养护类风险：桥梁、隧道、轨道、路基、车站、控制中心和车辆基地等方面的风险；</w:t>
      </w:r>
    </w:p>
    <w:p w14:paraId="2CC1927C" w14:textId="77777777" w:rsidR="00090E2D" w:rsidRPr="0079296E" w:rsidRDefault="00090E2D" w:rsidP="0079296E">
      <w:pPr>
        <w:adjustRightInd w:val="0"/>
        <w:snapToGrid w:val="0"/>
        <w:spacing w:line="360" w:lineRule="auto"/>
        <w:rPr>
          <w:rFonts w:ascii="宋体" w:eastAsia="宋体" w:hAnsi="宋体" w:cs="仿宋"/>
          <w:snapToGrid w:val="0"/>
          <w:color w:val="000000"/>
          <w:kern w:val="0"/>
          <w:sz w:val="28"/>
          <w:szCs w:val="28"/>
        </w:rPr>
      </w:pPr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（二）设备运行维修类风险：车辆、供电、通信、信号、机电等方面的风险；</w:t>
      </w:r>
    </w:p>
    <w:p w14:paraId="191D7704" w14:textId="77777777" w:rsidR="00090E2D" w:rsidRPr="0079296E" w:rsidRDefault="00090E2D" w:rsidP="0079296E">
      <w:pPr>
        <w:adjustRightInd w:val="0"/>
        <w:snapToGrid w:val="0"/>
        <w:spacing w:line="360" w:lineRule="auto"/>
        <w:rPr>
          <w:rFonts w:ascii="宋体" w:eastAsia="宋体" w:hAnsi="宋体" w:cs="仿宋"/>
          <w:snapToGrid w:val="0"/>
          <w:color w:val="000000"/>
          <w:kern w:val="0"/>
          <w:sz w:val="28"/>
          <w:szCs w:val="28"/>
        </w:rPr>
      </w:pPr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（三）行车组织类风险：调度指挥、列车运行、行车作业、施工管理等方面的风险；</w:t>
      </w:r>
    </w:p>
    <w:p w14:paraId="1A6B915F" w14:textId="77777777" w:rsidR="00090E2D" w:rsidRPr="0079296E" w:rsidRDefault="00090E2D" w:rsidP="0079296E">
      <w:pPr>
        <w:adjustRightInd w:val="0"/>
        <w:snapToGrid w:val="0"/>
        <w:spacing w:line="360" w:lineRule="auto"/>
        <w:rPr>
          <w:rFonts w:ascii="宋体" w:eastAsia="宋体" w:hAnsi="宋体" w:cs="仿宋"/>
          <w:snapToGrid w:val="0"/>
          <w:color w:val="000000"/>
          <w:kern w:val="0"/>
          <w:sz w:val="28"/>
          <w:szCs w:val="28"/>
        </w:rPr>
      </w:pPr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（四）客运组织类风险：车站作业、客流疏导、乘客行为等方面的风险；</w:t>
      </w:r>
    </w:p>
    <w:p w14:paraId="2BB4B6D7" w14:textId="77777777" w:rsidR="00090E2D" w:rsidRPr="0079296E" w:rsidRDefault="00090E2D" w:rsidP="0079296E">
      <w:pPr>
        <w:adjustRightInd w:val="0"/>
        <w:snapToGrid w:val="0"/>
        <w:spacing w:line="360" w:lineRule="auto"/>
        <w:rPr>
          <w:rFonts w:ascii="宋体" w:eastAsia="宋体" w:hAnsi="宋体" w:cs="仿宋"/>
          <w:snapToGrid w:val="0"/>
          <w:color w:val="000000"/>
          <w:kern w:val="0"/>
          <w:sz w:val="28"/>
          <w:szCs w:val="28"/>
        </w:rPr>
      </w:pPr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（五）运行环境类风险：生产环境、自然环境、保护区环境、社会环境等方面的风险。</w:t>
      </w:r>
    </w:p>
    <w:p w14:paraId="5D4F8B21" w14:textId="77777777" w:rsidR="00090E2D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C6C01A0" w14:textId="5B436787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365886D" w14:textId="392F6FA7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6BDB1A07" w14:textId="4F827FDE" w:rsidR="007746D4" w:rsidRPr="0079296E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71EDD15F" w14:textId="6B19F05B" w:rsidR="007746D4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D26B750" w14:textId="31535367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64B35A00" w14:textId="4F90AC0F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7C25912A" w14:textId="483EF0AB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1A3A611" w14:textId="6E269AC3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A0C1AB5" w14:textId="77777777" w:rsidR="0079296E" w:rsidRP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23082307" w14:textId="1D6972F0" w:rsidR="007746D4" w:rsidRPr="0079296E" w:rsidRDefault="007746D4" w:rsidP="0079296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79296E">
        <w:rPr>
          <w:rFonts w:ascii="宋体" w:eastAsia="宋体" w:hAnsi="宋体" w:hint="eastAsia"/>
          <w:b/>
          <w:bCs/>
          <w:sz w:val="28"/>
          <w:szCs w:val="28"/>
        </w:rPr>
        <w:lastRenderedPageBreak/>
        <w:t>8.</w:t>
      </w:r>
      <w:r w:rsidR="00EA163A" w:rsidRPr="0079296E">
        <w:rPr>
          <w:rFonts w:ascii="宋体" w:eastAsia="宋体" w:hAnsi="宋体" w:hint="eastAsia"/>
          <w:b/>
          <w:bCs/>
          <w:sz w:val="28"/>
          <w:szCs w:val="28"/>
        </w:rPr>
        <w:t>9</w:t>
      </w:r>
      <w:r w:rsidRPr="0079296E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79296E">
        <w:rPr>
          <w:rFonts w:ascii="宋体" w:eastAsia="宋体" w:hAnsi="宋体" w:hint="eastAsia"/>
          <w:b/>
          <w:bCs/>
          <w:sz w:val="28"/>
          <w:szCs w:val="28"/>
        </w:rPr>
        <w:t>每日一记</w:t>
      </w:r>
    </w:p>
    <w:p w14:paraId="1F138F73" w14:textId="3ED4828D" w:rsidR="007746D4" w:rsidRPr="0079296E" w:rsidRDefault="00090E2D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隐患分为重大隐患和一般隐患两个等级。重大隐患是指可能直接导致安全生产事故或列车脱轨、列车冲突、列车撞击、列车挤岔、火灾、桥隧结构坍塌、车站和</w:t>
      </w:r>
      <w:proofErr w:type="gramStart"/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轨行</w:t>
      </w:r>
      <w:proofErr w:type="gramEnd"/>
      <w:r w:rsidRPr="0079296E">
        <w:rPr>
          <w:rFonts w:ascii="宋体" w:eastAsia="宋体" w:hAnsi="宋体" w:cs="仿宋" w:hint="eastAsia"/>
          <w:snapToGrid w:val="0"/>
          <w:color w:val="000000"/>
          <w:kern w:val="0"/>
          <w:sz w:val="28"/>
          <w:szCs w:val="28"/>
        </w:rPr>
        <w:t>区淹水倒灌、大面积停电、客流踩踏等运营险性事件发生的隐患，一般具有危害和治理难度大、易造成全线/区段停运或封闭车站、关键设施设备长时间停止运行、需要较长时间治理方能排除、本单位自身难以排除等特点。一般隐患是指除重大隐患外，其他可能影响运营安全的隐患，一般具有危害或治理难度较小，能够快速消除等特点。</w:t>
      </w:r>
    </w:p>
    <w:p w14:paraId="20D1902D" w14:textId="716B2B37" w:rsidR="007746D4" w:rsidRDefault="007746D4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765C881" w14:textId="56C9C984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6449FD4" w14:textId="61B43772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9BFE96D" w14:textId="326AF2B5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BEDEA1C" w14:textId="013B24A5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4F973B4" w14:textId="00D8AF37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3C6825C" w14:textId="4183D1CC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7914644C" w14:textId="1E58B065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B73E50A" w14:textId="38267C03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7704E97" w14:textId="6A83C5FA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C4F00D4" w14:textId="5DDFAC44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68E09214" w14:textId="0A510041" w:rsidR="0079296E" w:rsidRDefault="0079296E" w:rsidP="0079296E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78BB51D5" w14:textId="77777777" w:rsidR="00EA163A" w:rsidRPr="0079296E" w:rsidRDefault="00EA163A" w:rsidP="0079296E">
      <w:pPr>
        <w:spacing w:line="360" w:lineRule="auto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EA163A" w:rsidRPr="0079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4BDF1" w14:textId="77777777" w:rsidR="00E55DD8" w:rsidRDefault="00E55DD8" w:rsidP="00090E2D">
      <w:r>
        <w:separator/>
      </w:r>
    </w:p>
  </w:endnote>
  <w:endnote w:type="continuationSeparator" w:id="0">
    <w:p w14:paraId="29780E13" w14:textId="77777777" w:rsidR="00E55DD8" w:rsidRDefault="00E55DD8" w:rsidP="0009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E72EA" w14:textId="77777777" w:rsidR="00E55DD8" w:rsidRDefault="00E55DD8" w:rsidP="00090E2D">
      <w:r>
        <w:separator/>
      </w:r>
    </w:p>
  </w:footnote>
  <w:footnote w:type="continuationSeparator" w:id="0">
    <w:p w14:paraId="0F027916" w14:textId="77777777" w:rsidR="00E55DD8" w:rsidRDefault="00E55DD8" w:rsidP="00090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62359"/>
    <w:multiLevelType w:val="multilevel"/>
    <w:tmpl w:val="6CF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77EBF"/>
    <w:multiLevelType w:val="multilevel"/>
    <w:tmpl w:val="5FA0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43AFA"/>
    <w:multiLevelType w:val="multilevel"/>
    <w:tmpl w:val="5FA0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F0497"/>
    <w:multiLevelType w:val="hybridMultilevel"/>
    <w:tmpl w:val="B6265BA4"/>
    <w:lvl w:ilvl="0" w:tplc="7A2C4BC8">
      <w:start w:val="8"/>
      <w:numFmt w:val="bullet"/>
      <w:lvlText w:val="-"/>
      <w:lvlJc w:val="left"/>
      <w:pPr>
        <w:ind w:left="360" w:hanging="360"/>
      </w:pPr>
      <w:rPr>
        <w:rFonts w:ascii="FangSong" w:eastAsia="FangSong" w:hAnsi="FangSo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8"/>
    <w:rsid w:val="00090E2D"/>
    <w:rsid w:val="003B770C"/>
    <w:rsid w:val="007746D4"/>
    <w:rsid w:val="0079296E"/>
    <w:rsid w:val="007F6E9B"/>
    <w:rsid w:val="00AE3F6A"/>
    <w:rsid w:val="00C92748"/>
    <w:rsid w:val="00CD17F9"/>
    <w:rsid w:val="00E55DD8"/>
    <w:rsid w:val="00E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5A4A7"/>
  <w15:chartTrackingRefBased/>
  <w15:docId w15:val="{43A515AE-3BE9-4E6D-B868-D253AE5A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E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E2D"/>
    <w:rPr>
      <w:sz w:val="18"/>
      <w:szCs w:val="18"/>
    </w:rPr>
  </w:style>
  <w:style w:type="paragraph" w:customStyle="1" w:styleId="md-end-block">
    <w:name w:val="md-end-block"/>
    <w:basedOn w:val="a"/>
    <w:rsid w:val="00090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90E2D"/>
  </w:style>
  <w:style w:type="paragraph" w:styleId="a7">
    <w:name w:val="List Paragraph"/>
    <w:basedOn w:val="a"/>
    <w:uiPriority w:val="34"/>
    <w:qFormat/>
    <w:rsid w:val="00090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宇飞</dc:creator>
  <cp:keywords/>
  <dc:description/>
  <cp:lastModifiedBy>梁 宇飞</cp:lastModifiedBy>
  <cp:revision>4</cp:revision>
  <dcterms:created xsi:type="dcterms:W3CDTF">2019-08-13T00:26:00Z</dcterms:created>
  <dcterms:modified xsi:type="dcterms:W3CDTF">2019-08-13T01:10:00Z</dcterms:modified>
</cp:coreProperties>
</file>