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029C" w14:textId="77777777" w:rsidR="00B51092" w:rsidRPr="00B51092" w:rsidRDefault="00B51092" w:rsidP="00B5109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51092">
        <w:rPr>
          <w:rFonts w:ascii="Times New Roman" w:eastAsia="Times New Roman" w:hAnsi="Times New Roman" w:cs="Times New Roman"/>
          <w:b/>
          <w:bCs/>
          <w:color w:val="000000"/>
          <w:kern w:val="0"/>
          <w:sz w:val="36"/>
          <w:szCs w:val="36"/>
          <w14:ligatures w14:val="none"/>
        </w:rPr>
        <w:t>Scientific Background</w:t>
      </w:r>
    </w:p>
    <w:p w14:paraId="5156EAEB" w14:textId="77777777" w:rsidR="00B51092" w:rsidRPr="00B51092" w:rsidRDefault="00B51092" w:rsidP="00B5109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51092">
        <w:rPr>
          <w:rFonts w:ascii="Times New Roman" w:eastAsia="Times New Roman" w:hAnsi="Times New Roman" w:cs="Times New Roman"/>
          <w:b/>
          <w:bCs/>
          <w:color w:val="000000"/>
          <w:kern w:val="0"/>
          <w:sz w:val="27"/>
          <w:szCs w:val="27"/>
          <w14:ligatures w14:val="none"/>
        </w:rPr>
        <w:t>1. Context and Rationale</w:t>
      </w:r>
    </w:p>
    <w:p w14:paraId="00E416A5" w14:textId="77777777" w:rsidR="00EA662E" w:rsidRPr="00EA662E" w:rsidRDefault="00EA662E" w:rsidP="008F072F">
      <w:pPr>
        <w:pStyle w:val="NormalWeb"/>
        <w:jc w:val="both"/>
        <w:rPr>
          <w:color w:val="000000"/>
        </w:rPr>
      </w:pPr>
      <w:r w:rsidRPr="00EA662E">
        <w:rPr>
          <w:color w:val="000000"/>
        </w:rPr>
        <w:t>The</w:t>
      </w:r>
      <w:r w:rsidRPr="00EA662E">
        <w:t> Optimal Learning Project </w:t>
      </w:r>
      <w:r w:rsidRPr="00EA662E">
        <w:rPr>
          <w:color w:val="000000"/>
        </w:rPr>
        <w:t>is a four-year, province-wide research initiative commissioned by Alberta Education to evaluate the extent to which Alberta’s teachers, school leaders, and superintendents are implementing the 2018</w:t>
      </w:r>
      <w:r w:rsidRPr="00EA662E">
        <w:rPr>
          <w:rStyle w:val="apple-converted-space"/>
          <w:rFonts w:eastAsiaTheme="majorEastAsia"/>
          <w:color w:val="000000"/>
        </w:rPr>
        <w:t> </w:t>
      </w:r>
      <w:r w:rsidRPr="00EA662E">
        <w:rPr>
          <w:rStyle w:val="Strong"/>
          <w:rFonts w:eastAsiaTheme="majorEastAsia"/>
          <w:b w:val="0"/>
          <w:bCs w:val="0"/>
          <w:color w:val="000000"/>
        </w:rPr>
        <w:t>Professional Practice Standards</w:t>
      </w:r>
      <w:r w:rsidRPr="00EA662E">
        <w:rPr>
          <w:b/>
          <w:bCs/>
          <w:color w:val="000000"/>
        </w:rPr>
        <w:t xml:space="preserve">, </w:t>
      </w:r>
      <w:r w:rsidRPr="00EA662E">
        <w:rPr>
          <w:color w:val="000000"/>
        </w:rPr>
        <w:t xml:space="preserve">including </w:t>
      </w:r>
      <w:r w:rsidRPr="00EA662E">
        <w:rPr>
          <w:b/>
          <w:bCs/>
          <w:color w:val="000000"/>
        </w:rPr>
        <w:t>the</w:t>
      </w:r>
      <w:r w:rsidRPr="00EA662E">
        <w:rPr>
          <w:rStyle w:val="apple-converted-space"/>
          <w:rFonts w:eastAsiaTheme="majorEastAsia"/>
          <w:b/>
          <w:bCs/>
          <w:color w:val="000000"/>
        </w:rPr>
        <w:t> </w:t>
      </w:r>
      <w:r w:rsidRPr="00EA662E">
        <w:rPr>
          <w:rStyle w:val="Strong"/>
          <w:rFonts w:eastAsiaTheme="majorEastAsia"/>
          <w:b w:val="0"/>
          <w:bCs w:val="0"/>
          <w:color w:val="000000"/>
        </w:rPr>
        <w:t>Teacher Quality Standard (TQS)</w:t>
      </w:r>
      <w:r w:rsidRPr="00EA662E">
        <w:rPr>
          <w:b/>
          <w:bCs/>
          <w:color w:val="000000"/>
        </w:rPr>
        <w:t>,</w:t>
      </w:r>
      <w:r w:rsidRPr="00EA662E">
        <w:rPr>
          <w:rStyle w:val="apple-converted-space"/>
          <w:rFonts w:eastAsiaTheme="majorEastAsia"/>
          <w:b/>
          <w:bCs/>
          <w:color w:val="000000"/>
        </w:rPr>
        <w:t> </w:t>
      </w:r>
      <w:r w:rsidRPr="00EA662E">
        <w:rPr>
          <w:rStyle w:val="Strong"/>
          <w:rFonts w:eastAsiaTheme="majorEastAsia"/>
          <w:b w:val="0"/>
          <w:bCs w:val="0"/>
          <w:color w:val="000000"/>
        </w:rPr>
        <w:t>Leadership Quality Standard (LQS</w:t>
      </w:r>
      <w:r w:rsidRPr="00EA662E">
        <w:rPr>
          <w:rStyle w:val="Strong"/>
          <w:rFonts w:eastAsiaTheme="majorEastAsia"/>
          <w:color w:val="000000"/>
        </w:rPr>
        <w:t>)</w:t>
      </w:r>
      <w:r w:rsidRPr="00EA662E">
        <w:rPr>
          <w:color w:val="000000"/>
        </w:rPr>
        <w:t>, and</w:t>
      </w:r>
      <w:r w:rsidRPr="00EA662E">
        <w:rPr>
          <w:rStyle w:val="apple-converted-space"/>
          <w:rFonts w:eastAsiaTheme="majorEastAsia"/>
          <w:b/>
          <w:bCs/>
          <w:color w:val="000000"/>
        </w:rPr>
        <w:t> </w:t>
      </w:r>
      <w:r w:rsidRPr="00EA662E">
        <w:rPr>
          <w:rStyle w:val="Strong"/>
          <w:rFonts w:eastAsiaTheme="majorEastAsia"/>
          <w:b w:val="0"/>
          <w:bCs w:val="0"/>
          <w:color w:val="000000"/>
        </w:rPr>
        <w:t>Superintendent Leadership Quality Standard (SLQS)</w:t>
      </w:r>
      <w:r w:rsidRPr="00EA662E">
        <w:rPr>
          <w:b/>
          <w:bCs/>
          <w:color w:val="000000"/>
        </w:rPr>
        <w:t>.</w:t>
      </w:r>
    </w:p>
    <w:p w14:paraId="49455BD5" w14:textId="77777777" w:rsidR="00EA662E" w:rsidRPr="00EA662E" w:rsidRDefault="00EA662E" w:rsidP="008F072F">
      <w:pPr>
        <w:pStyle w:val="NormalWeb"/>
        <w:jc w:val="both"/>
        <w:rPr>
          <w:color w:val="000000"/>
        </w:rPr>
      </w:pPr>
      <w:r w:rsidRPr="00EA662E">
        <w:rPr>
          <w:color w:val="000000"/>
        </w:rPr>
        <w:t>Data for the project were collected annually through province-wide online surveys administered via Qualtrics, using a</w:t>
      </w:r>
      <w:r w:rsidRPr="00EA662E">
        <w:rPr>
          <w:rStyle w:val="apple-converted-space"/>
          <w:rFonts w:eastAsiaTheme="majorEastAsia"/>
          <w:color w:val="000000"/>
        </w:rPr>
        <w:t> </w:t>
      </w:r>
      <w:r w:rsidRPr="00EA662E">
        <w:rPr>
          <w:rStyle w:val="Strong"/>
          <w:rFonts w:eastAsiaTheme="majorEastAsia"/>
          <w:b w:val="0"/>
          <w:bCs w:val="0"/>
          <w:color w:val="000000"/>
        </w:rPr>
        <w:t>stratified random sampling design</w:t>
      </w:r>
      <w:r w:rsidRPr="00EA662E">
        <w:rPr>
          <w:b/>
          <w:bCs/>
          <w:color w:val="000000"/>
        </w:rPr>
        <w:t>.</w:t>
      </w:r>
      <w:r w:rsidRPr="00EA662E">
        <w:rPr>
          <w:color w:val="000000"/>
        </w:rPr>
        <w:t xml:space="preserve"> The surveys included both</w:t>
      </w:r>
      <w:r w:rsidRPr="00EA662E">
        <w:rPr>
          <w:rStyle w:val="apple-converted-space"/>
          <w:rFonts w:eastAsiaTheme="majorEastAsia"/>
          <w:color w:val="000000"/>
        </w:rPr>
        <w:t> </w:t>
      </w:r>
      <w:r w:rsidRPr="00EA662E">
        <w:rPr>
          <w:rStyle w:val="Strong"/>
          <w:rFonts w:eastAsiaTheme="majorEastAsia"/>
          <w:b w:val="0"/>
          <w:bCs w:val="0"/>
          <w:color w:val="000000"/>
        </w:rPr>
        <w:t>five-point Likert-scale items</w:t>
      </w:r>
      <w:r w:rsidRPr="00EA662E">
        <w:rPr>
          <w:rStyle w:val="apple-converted-space"/>
          <w:rFonts w:eastAsiaTheme="majorEastAsia"/>
          <w:color w:val="000000"/>
        </w:rPr>
        <w:t> </w:t>
      </w:r>
      <w:r w:rsidRPr="00EA662E">
        <w:rPr>
          <w:color w:val="000000"/>
        </w:rPr>
        <w:t>and</w:t>
      </w:r>
      <w:r w:rsidRPr="00EA662E">
        <w:rPr>
          <w:rStyle w:val="apple-converted-space"/>
          <w:rFonts w:eastAsiaTheme="majorEastAsia"/>
          <w:color w:val="000000"/>
        </w:rPr>
        <w:t> </w:t>
      </w:r>
      <w:r w:rsidRPr="00EA662E">
        <w:rPr>
          <w:rStyle w:val="Strong"/>
          <w:rFonts w:eastAsiaTheme="majorEastAsia"/>
          <w:b w:val="0"/>
          <w:bCs w:val="0"/>
          <w:color w:val="000000"/>
        </w:rPr>
        <w:t>binary questions</w:t>
      </w:r>
      <w:r w:rsidRPr="00EA662E">
        <w:rPr>
          <w:b/>
          <w:bCs/>
          <w:color w:val="000000"/>
        </w:rPr>
        <w:t>,</w:t>
      </w:r>
      <w:r w:rsidRPr="00EA662E">
        <w:rPr>
          <w:color w:val="000000"/>
        </w:rPr>
        <w:t xml:space="preserve"> and were distributed to three professional groups: teachers, school leaders, and superintendents. This design supports longitudinal analysis of trends in professional practice, learning needs, and system-level alignment over time.</w:t>
      </w:r>
    </w:p>
    <w:p w14:paraId="4BF6FFB3" w14:textId="5FD9FCC8" w:rsidR="00EA662E" w:rsidRDefault="00EA662E" w:rsidP="008F072F">
      <w:pPr>
        <w:pStyle w:val="NormalWeb"/>
        <w:jc w:val="both"/>
        <w:rPr>
          <w:color w:val="000000"/>
        </w:rPr>
      </w:pPr>
      <w:r w:rsidRPr="00EA662E">
        <w:rPr>
          <w:color w:val="000000"/>
        </w:rPr>
        <w:t xml:space="preserve">These Professional Practice Standards </w:t>
      </w:r>
      <w:proofErr w:type="gramStart"/>
      <w:r w:rsidRPr="00EA662E">
        <w:rPr>
          <w:color w:val="000000"/>
        </w:rPr>
        <w:t>are based on the assumption</w:t>
      </w:r>
      <w:proofErr w:type="gramEnd"/>
      <w:r w:rsidRPr="00EA662E">
        <w:rPr>
          <w:color w:val="000000"/>
        </w:rPr>
        <w:t xml:space="preserve"> that clearly defined expectations for professional competence support high-quality teaching and continuous professional growth. In Alberta, the TQS and LQS </w:t>
      </w:r>
      <w:r w:rsidR="00E723A9">
        <w:rPr>
          <w:color w:val="000000"/>
        </w:rPr>
        <w:t xml:space="preserve">and SLQS </w:t>
      </w:r>
      <w:r w:rsidRPr="00EA662E">
        <w:rPr>
          <w:color w:val="000000"/>
        </w:rPr>
        <w:t>define these expectations through competencies related to professional knowledge, ongoing learning, inclusive practice, ethical conduct, and leadership.</w:t>
      </w:r>
    </w:p>
    <w:p w14:paraId="4042E518" w14:textId="07867303" w:rsidR="00EA662E" w:rsidRPr="00EA662E" w:rsidRDefault="00EA662E" w:rsidP="008F072F">
      <w:pPr>
        <w:pStyle w:val="NormalWeb"/>
        <w:jc w:val="both"/>
        <w:rPr>
          <w:color w:val="000000"/>
        </w:rPr>
      </w:pPr>
      <w:r w:rsidRPr="00EA662E">
        <w:rPr>
          <w:color w:val="000000"/>
        </w:rPr>
        <w:t>Despite the clarity of these standards, there is limited empirical evidence on</w:t>
      </w:r>
      <w:r w:rsidRPr="00EA662E">
        <w:rPr>
          <w:rStyle w:val="apple-converted-space"/>
          <w:rFonts w:eastAsiaTheme="majorEastAsia"/>
          <w:color w:val="000000"/>
        </w:rPr>
        <w:t> </w:t>
      </w:r>
      <w:r w:rsidRPr="00E723A9">
        <w:rPr>
          <w:rStyle w:val="Strong"/>
          <w:rFonts w:eastAsiaTheme="majorEastAsia"/>
          <w:b w:val="0"/>
          <w:bCs w:val="0"/>
          <w:color w:val="000000"/>
        </w:rPr>
        <w:t>how competencies function in practice across professional roles</w:t>
      </w:r>
      <w:r w:rsidRPr="00E723A9">
        <w:rPr>
          <w:b/>
          <w:bCs/>
          <w:color w:val="000000"/>
        </w:rPr>
        <w:t>,</w:t>
      </w:r>
      <w:r w:rsidRPr="00E723A9">
        <w:rPr>
          <w:rStyle w:val="apple-converted-space"/>
          <w:rFonts w:eastAsiaTheme="majorEastAsia"/>
          <w:b/>
          <w:bCs/>
          <w:color w:val="000000"/>
        </w:rPr>
        <w:t> </w:t>
      </w:r>
      <w:r w:rsidRPr="00E723A9">
        <w:rPr>
          <w:rStyle w:val="Strong"/>
          <w:rFonts w:eastAsiaTheme="majorEastAsia"/>
          <w:b w:val="0"/>
          <w:bCs w:val="0"/>
          <w:color w:val="000000"/>
        </w:rPr>
        <w:t>how perceived competency levels influence professional learning needs</w:t>
      </w:r>
      <w:r w:rsidRPr="00E723A9">
        <w:rPr>
          <w:b/>
          <w:bCs/>
          <w:color w:val="000000"/>
        </w:rPr>
        <w:t xml:space="preserve">, </w:t>
      </w:r>
      <w:r w:rsidRPr="00E723A9">
        <w:rPr>
          <w:color w:val="000000"/>
        </w:rPr>
        <w:t>and</w:t>
      </w:r>
      <w:r w:rsidRPr="00E723A9">
        <w:rPr>
          <w:rStyle w:val="apple-converted-space"/>
          <w:rFonts w:eastAsiaTheme="majorEastAsia"/>
          <w:color w:val="000000"/>
        </w:rPr>
        <w:t> </w:t>
      </w:r>
      <w:r w:rsidRPr="00E723A9">
        <w:rPr>
          <w:rStyle w:val="Strong"/>
          <w:rFonts w:eastAsiaTheme="majorEastAsia"/>
          <w:b w:val="0"/>
          <w:bCs w:val="0"/>
          <w:color w:val="000000"/>
        </w:rPr>
        <w:t>how those needs translate into engagement in professional learning (PL) activities</w:t>
      </w:r>
      <w:r w:rsidRPr="00E723A9">
        <w:rPr>
          <w:b/>
          <w:bCs/>
          <w:color w:val="000000"/>
        </w:rPr>
        <w:t>.</w:t>
      </w:r>
      <w:r w:rsidRPr="00EA662E">
        <w:rPr>
          <w:color w:val="000000"/>
        </w:rPr>
        <w:t xml:space="preserve"> Addressing these gaps is critical for designing professional learning systems that are not only standards-aligned, but also responsive, targeted, and evidence-informed.</w:t>
      </w:r>
    </w:p>
    <w:p w14:paraId="615B8EBA" w14:textId="102544B9" w:rsidR="00EA662E" w:rsidRPr="00EA662E" w:rsidRDefault="00EA662E" w:rsidP="008F072F">
      <w:pPr>
        <w:pStyle w:val="NormalWeb"/>
        <w:jc w:val="both"/>
        <w:rPr>
          <w:color w:val="000000"/>
        </w:rPr>
      </w:pPr>
      <w:r w:rsidRPr="00EA662E">
        <w:rPr>
          <w:color w:val="000000"/>
        </w:rPr>
        <w:t>Accordingly, this project adopts a</w:t>
      </w:r>
      <w:r w:rsidRPr="00EA662E">
        <w:rPr>
          <w:rStyle w:val="apple-converted-space"/>
          <w:rFonts w:eastAsiaTheme="majorEastAsia"/>
          <w:color w:val="000000"/>
        </w:rPr>
        <w:t> </w:t>
      </w:r>
      <w:r w:rsidRPr="00E723A9">
        <w:rPr>
          <w:rStyle w:val="Strong"/>
          <w:rFonts w:eastAsiaTheme="majorEastAsia"/>
          <w:b w:val="0"/>
          <w:bCs w:val="0"/>
          <w:color w:val="000000"/>
        </w:rPr>
        <w:t>longitudinal, mixed-methods analytical perspective</w:t>
      </w:r>
      <w:r w:rsidRPr="00E723A9">
        <w:rPr>
          <w:b/>
          <w:bCs/>
          <w:color w:val="000000"/>
        </w:rPr>
        <w:t>,</w:t>
      </w:r>
      <w:r w:rsidRPr="00EA662E">
        <w:rPr>
          <w:color w:val="000000"/>
        </w:rPr>
        <w:t xml:space="preserve"> with the </w:t>
      </w:r>
      <w:proofErr w:type="gramStart"/>
      <w:r w:rsidR="00E723A9">
        <w:rPr>
          <w:color w:val="000000"/>
        </w:rPr>
        <w:t>4 year</w:t>
      </w:r>
      <w:proofErr w:type="gramEnd"/>
      <w:r w:rsidRPr="00E723A9">
        <w:rPr>
          <w:rStyle w:val="Strong"/>
          <w:rFonts w:eastAsiaTheme="majorEastAsia"/>
          <w:b w:val="0"/>
          <w:bCs w:val="0"/>
          <w:color w:val="000000"/>
        </w:rPr>
        <w:t xml:space="preserve"> quantitative analyses</w:t>
      </w:r>
      <w:r w:rsidRPr="00E723A9">
        <w:rPr>
          <w:b/>
          <w:bCs/>
          <w:color w:val="000000"/>
        </w:rPr>
        <w:t xml:space="preserve">. </w:t>
      </w:r>
      <w:r w:rsidRPr="00EA662E">
        <w:rPr>
          <w:color w:val="000000"/>
        </w:rPr>
        <w:t>These analyses examine the structural relationships among educator competencies, professional learning needs, participation in professional learning activities, and the perceived characteristics of learning experiences that have the greatest impact on teaching practice.</w:t>
      </w:r>
    </w:p>
    <w:p w14:paraId="47551242" w14:textId="77777777" w:rsidR="00B51092" w:rsidRPr="00B51092" w:rsidRDefault="00B51092"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B51092">
        <w:rPr>
          <w:rFonts w:ascii="Times New Roman" w:eastAsia="Times New Roman" w:hAnsi="Times New Roman" w:cs="Times New Roman"/>
          <w:b/>
          <w:bCs/>
          <w:color w:val="000000"/>
          <w:kern w:val="0"/>
          <w:sz w:val="27"/>
          <w:szCs w:val="27"/>
          <w14:ligatures w14:val="none"/>
        </w:rPr>
        <w:t>2. Conceptual Foundations</w:t>
      </w:r>
    </w:p>
    <w:p w14:paraId="25AA4545" w14:textId="77777777" w:rsidR="00B51092" w:rsidRPr="00B51092" w:rsidRDefault="00B51092" w:rsidP="008F072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51092">
        <w:rPr>
          <w:rFonts w:ascii="Times New Roman" w:eastAsia="Times New Roman" w:hAnsi="Times New Roman" w:cs="Times New Roman"/>
          <w:color w:val="000000"/>
          <w:kern w:val="0"/>
          <w14:ligatures w14:val="none"/>
        </w:rPr>
        <w:t>The scientific foundation of this project rests on three core assumptions commonly used in education research and professional learning theory:</w:t>
      </w:r>
    </w:p>
    <w:p w14:paraId="103032FF" w14:textId="77777777" w:rsidR="00B51092" w:rsidRPr="00B51092" w:rsidRDefault="00B51092" w:rsidP="008F072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1092">
        <w:rPr>
          <w:rFonts w:ascii="Times New Roman" w:eastAsia="Times New Roman" w:hAnsi="Times New Roman" w:cs="Times New Roman"/>
          <w:b/>
          <w:bCs/>
          <w:color w:val="000000"/>
          <w:kern w:val="0"/>
          <w14:ligatures w14:val="none"/>
        </w:rPr>
        <w:t>Competencies and learning needs are latent constructs</w:t>
      </w:r>
      <w:r w:rsidRPr="00B51092">
        <w:rPr>
          <w:rFonts w:ascii="Times New Roman" w:eastAsia="Times New Roman" w:hAnsi="Times New Roman" w:cs="Times New Roman"/>
          <w:color w:val="000000"/>
          <w:kern w:val="0"/>
          <w14:ligatures w14:val="none"/>
        </w:rPr>
        <w:br/>
        <w:t>Core professional competencies (e.g., fostering effective relationships, engaging in career-long learning) and corresponding learning needs cannot be directly observed. Instead, they are inferred from multiple survey indicators capturing self-reported practice, confidence, and professional aspirations.</w:t>
      </w:r>
    </w:p>
    <w:p w14:paraId="24212CB1" w14:textId="77777777" w:rsidR="00B51092" w:rsidRPr="00B51092" w:rsidRDefault="00B51092" w:rsidP="008F072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1092">
        <w:rPr>
          <w:rFonts w:ascii="Times New Roman" w:eastAsia="Times New Roman" w:hAnsi="Times New Roman" w:cs="Times New Roman"/>
          <w:b/>
          <w:bCs/>
          <w:color w:val="000000"/>
          <w:kern w:val="0"/>
          <w14:ligatures w14:val="none"/>
        </w:rPr>
        <w:t>Competency gaps motivate professional learning</w:t>
      </w:r>
      <w:r w:rsidRPr="00B51092">
        <w:rPr>
          <w:rFonts w:ascii="Times New Roman" w:eastAsia="Times New Roman" w:hAnsi="Times New Roman" w:cs="Times New Roman"/>
          <w:color w:val="000000"/>
          <w:kern w:val="0"/>
          <w14:ligatures w14:val="none"/>
        </w:rPr>
        <w:br/>
        <w:t xml:space="preserve">Educators with lower perceived competency </w:t>
      </w:r>
      <w:proofErr w:type="gramStart"/>
      <w:r w:rsidRPr="00B51092">
        <w:rPr>
          <w:rFonts w:ascii="Times New Roman" w:eastAsia="Times New Roman" w:hAnsi="Times New Roman" w:cs="Times New Roman"/>
          <w:color w:val="000000"/>
          <w:kern w:val="0"/>
          <w14:ligatures w14:val="none"/>
        </w:rPr>
        <w:t>in a given</w:t>
      </w:r>
      <w:proofErr w:type="gramEnd"/>
      <w:r w:rsidRPr="00B51092">
        <w:rPr>
          <w:rFonts w:ascii="Times New Roman" w:eastAsia="Times New Roman" w:hAnsi="Times New Roman" w:cs="Times New Roman"/>
          <w:color w:val="000000"/>
          <w:kern w:val="0"/>
          <w14:ligatures w14:val="none"/>
        </w:rPr>
        <w:t xml:space="preserve"> domain are expected to report </w:t>
      </w:r>
      <w:r w:rsidRPr="00B51092">
        <w:rPr>
          <w:rFonts w:ascii="Times New Roman" w:eastAsia="Times New Roman" w:hAnsi="Times New Roman" w:cs="Times New Roman"/>
          <w:color w:val="000000"/>
          <w:kern w:val="0"/>
          <w14:ligatures w14:val="none"/>
        </w:rPr>
        <w:lastRenderedPageBreak/>
        <w:t>stronger learning needs in that same domain, reflecting a self-regulatory model of professional growth.</w:t>
      </w:r>
    </w:p>
    <w:p w14:paraId="27BC43CA" w14:textId="77777777" w:rsidR="00B51092" w:rsidRPr="00B51092" w:rsidRDefault="00B51092" w:rsidP="008F072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1092">
        <w:rPr>
          <w:rFonts w:ascii="Times New Roman" w:eastAsia="Times New Roman" w:hAnsi="Times New Roman" w:cs="Times New Roman"/>
          <w:b/>
          <w:bCs/>
          <w:color w:val="000000"/>
          <w:kern w:val="0"/>
          <w14:ligatures w14:val="none"/>
        </w:rPr>
        <w:t>Learning needs drive participation, but activity quality drives impact</w:t>
      </w:r>
      <w:r w:rsidRPr="00B51092">
        <w:rPr>
          <w:rFonts w:ascii="Times New Roman" w:eastAsia="Times New Roman" w:hAnsi="Times New Roman" w:cs="Times New Roman"/>
          <w:color w:val="000000"/>
          <w:kern w:val="0"/>
          <w14:ligatures w14:val="none"/>
        </w:rPr>
        <w:br/>
        <w:t>While learning needs may motivate participation in professional learning activities, the </w:t>
      </w:r>
      <w:r w:rsidRPr="00E723A9">
        <w:rPr>
          <w:rFonts w:ascii="Times New Roman" w:eastAsia="Times New Roman" w:hAnsi="Times New Roman" w:cs="Times New Roman"/>
          <w:color w:val="000000"/>
          <w:kern w:val="0"/>
          <w14:ligatures w14:val="none"/>
        </w:rPr>
        <w:t>design characteristics</w:t>
      </w:r>
      <w:r w:rsidRPr="00B51092">
        <w:rPr>
          <w:rFonts w:ascii="Times New Roman" w:eastAsia="Times New Roman" w:hAnsi="Times New Roman" w:cs="Times New Roman"/>
          <w:color w:val="000000"/>
          <w:kern w:val="0"/>
          <w14:ligatures w14:val="none"/>
        </w:rPr>
        <w:t> of those activities (e.g., relevance, coherence, active learning) are hypothesized to determine their perceived impact on teaching practice.</w:t>
      </w:r>
    </w:p>
    <w:p w14:paraId="0C370AAD" w14:textId="3B314C3F" w:rsidR="00B51092" w:rsidRPr="00B51092" w:rsidRDefault="00B51092" w:rsidP="008F072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51092">
        <w:rPr>
          <w:rFonts w:ascii="Times New Roman" w:eastAsia="Times New Roman" w:hAnsi="Times New Roman" w:cs="Times New Roman"/>
          <w:color w:val="000000"/>
          <w:kern w:val="0"/>
          <w14:ligatures w14:val="none"/>
        </w:rPr>
        <w:t>These assumptions align with established frameworks in adult learning theory, self-directed professional learning, and standards-based educational improvement.</w:t>
      </w:r>
    </w:p>
    <w:p w14:paraId="36A15668" w14:textId="77777777" w:rsidR="00B51092" w:rsidRPr="00B51092" w:rsidRDefault="00B51092"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B51092">
        <w:rPr>
          <w:rFonts w:ascii="Times New Roman" w:eastAsia="Times New Roman" w:hAnsi="Times New Roman" w:cs="Times New Roman"/>
          <w:b/>
          <w:bCs/>
          <w:color w:val="000000"/>
          <w:kern w:val="0"/>
          <w:sz w:val="27"/>
          <w:szCs w:val="27"/>
          <w14:ligatures w14:val="none"/>
        </w:rPr>
        <w:t>3. Analytical Framework</w:t>
      </w:r>
    </w:p>
    <w:p w14:paraId="02F4E7A0" w14:textId="42123880" w:rsidR="00932E61" w:rsidRPr="00932E61" w:rsidRDefault="00932E61" w:rsidP="008F072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932E61">
        <w:rPr>
          <w:rFonts w:ascii="Times New Roman" w:eastAsia="Times New Roman" w:hAnsi="Times New Roman" w:cs="Times New Roman"/>
          <w:color w:val="000000"/>
          <w:kern w:val="0"/>
          <w14:ligatures w14:val="none"/>
        </w:rPr>
        <w:t>To examine the implementation of Alberta’s Professional Practice Standards in a statistically rigorous and interpretable manner, the analysis progressing from descriptive exploration to inferential and structural modeling. This staged approach ensures that complex modeling is grounded in an understanding of data distributions, subgroup differences, and construct relationships.</w:t>
      </w:r>
    </w:p>
    <w:p w14:paraId="08669B87" w14:textId="77777777" w:rsidR="00932E61" w:rsidRPr="00932E61" w:rsidRDefault="00932E61"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932E61">
        <w:rPr>
          <w:rFonts w:ascii="Times New Roman" w:eastAsia="Times New Roman" w:hAnsi="Times New Roman" w:cs="Times New Roman"/>
          <w:b/>
          <w:bCs/>
          <w:color w:val="000000"/>
          <w:kern w:val="0"/>
          <w14:ligatures w14:val="none"/>
        </w:rPr>
        <w:t>3.1 Descriptive and Preliminary Analyses</w:t>
      </w:r>
    </w:p>
    <w:p w14:paraId="63693893" w14:textId="77777777" w:rsidR="00932E61" w:rsidRPr="00932E61" w:rsidRDefault="00932E61" w:rsidP="008F072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932E61">
        <w:rPr>
          <w:rFonts w:ascii="Times New Roman" w:eastAsia="Times New Roman" w:hAnsi="Times New Roman" w:cs="Times New Roman"/>
          <w:color w:val="000000"/>
          <w:kern w:val="0"/>
          <w14:ligatures w14:val="none"/>
        </w:rPr>
        <w:t>The first stage consists of descriptive and exploratory analyses to summarize the distributional properties of teacher competencies and professional learning needs. Means, standard deviations, and distributional plots are used to assess variability across competency domains. Correlation matrices and pairwise plots are examined to explore associations among competencies and to identify potential multicollinearity prior to inferential modeling.</w:t>
      </w:r>
    </w:p>
    <w:p w14:paraId="46E4C510" w14:textId="77777777" w:rsidR="00932E61" w:rsidRPr="005A79AA" w:rsidRDefault="00932E61"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5A79AA">
        <w:rPr>
          <w:rFonts w:ascii="Times New Roman" w:eastAsia="Times New Roman" w:hAnsi="Times New Roman" w:cs="Times New Roman"/>
          <w:b/>
          <w:bCs/>
          <w:color w:val="000000"/>
          <w:kern w:val="0"/>
          <w14:ligatures w14:val="none"/>
        </w:rPr>
        <w:t>3.2 Group Comparison Analyses (MANOVA)</w:t>
      </w:r>
    </w:p>
    <w:p w14:paraId="5168C171" w14:textId="77777777" w:rsidR="00932E61" w:rsidRPr="005A79AA" w:rsidRDefault="00932E61" w:rsidP="008F072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A79AA">
        <w:rPr>
          <w:rFonts w:ascii="Times New Roman" w:eastAsia="Times New Roman" w:hAnsi="Times New Roman" w:cs="Times New Roman"/>
          <w:color w:val="000000"/>
          <w:kern w:val="0"/>
          <w14:ligatures w14:val="none"/>
        </w:rPr>
        <w:t>The second stage evaluates whether teacher competency profiles differ systematically across subgroups. Multivariate Analysis of Variance (MANOVA) using Pillai’s Trace is applied to test for differences in the joint distribution of competencies by grade level, subject specialization, and teaching experience. When statistically significant multivariate effects are detected, follow-up univariate ANOVAs are conducted to identify which competency domains contribute to the observed differences.</w:t>
      </w:r>
    </w:p>
    <w:p w14:paraId="005D2DB4" w14:textId="02D739A4" w:rsidR="00932E61" w:rsidRPr="005A79AA" w:rsidRDefault="00932E61"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5A79AA">
        <w:rPr>
          <w:rFonts w:ascii="Times New Roman" w:eastAsia="Times New Roman" w:hAnsi="Times New Roman" w:cs="Times New Roman"/>
          <w:b/>
          <w:bCs/>
          <w:color w:val="000000"/>
          <w:kern w:val="0"/>
          <w14:ligatures w14:val="none"/>
        </w:rPr>
        <w:t>3.3 Structural Equation Modeling of Competencies and Learning Needs</w:t>
      </w:r>
    </w:p>
    <w:p w14:paraId="29E5C792" w14:textId="36511564" w:rsidR="00932E61" w:rsidRPr="005A79AA" w:rsidRDefault="00932E61" w:rsidP="008F072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A79AA">
        <w:rPr>
          <w:rFonts w:ascii="Times New Roman" w:eastAsia="Times New Roman" w:hAnsi="Times New Roman" w:cs="Times New Roman"/>
          <w:color w:val="000000"/>
          <w:kern w:val="0"/>
          <w14:ligatures w14:val="none"/>
        </w:rPr>
        <w:t>The third stage applies Structural Equation Modeling (SEM) to examine relationships between competency</w:t>
      </w:r>
      <w:r w:rsidRPr="005A79AA">
        <w:rPr>
          <w:rFonts w:ascii="Times New Roman" w:eastAsia="Times New Roman" w:hAnsi="Times New Roman" w:cs="Times New Roman"/>
          <w:b/>
          <w:bCs/>
          <w:color w:val="000000"/>
          <w:kern w:val="0"/>
          <w14:ligatures w14:val="none"/>
        </w:rPr>
        <w:t xml:space="preserve"> </w:t>
      </w:r>
      <w:r w:rsidRPr="005A79AA">
        <w:rPr>
          <w:rFonts w:ascii="Times New Roman" w:eastAsia="Times New Roman" w:hAnsi="Times New Roman" w:cs="Times New Roman"/>
          <w:color w:val="000000"/>
          <w:kern w:val="0"/>
          <w14:ligatures w14:val="none"/>
        </w:rPr>
        <w:t>implementation and corresponding professional learning needs. Both constructs are specified as latent variables, each measured by multiple survey indicators. Separate SEMs are estimated for each Teacher Quality Standard (TQS) competency domain. Model adequacy is evaluated using Comparative Fit Index (CFI) and Tucker–Lewis Index (TLI).</w:t>
      </w:r>
    </w:p>
    <w:p w14:paraId="26A95B21" w14:textId="77777777" w:rsidR="005A79AA" w:rsidRDefault="005A79AA"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p>
    <w:p w14:paraId="57DF4E62" w14:textId="77777777" w:rsidR="005A79AA" w:rsidRDefault="005A79AA"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p>
    <w:p w14:paraId="6F25E3EA" w14:textId="4A19B91C" w:rsidR="00932E61" w:rsidRPr="005A79AA" w:rsidRDefault="00932E61"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5A79AA">
        <w:rPr>
          <w:rFonts w:ascii="Times New Roman" w:eastAsia="Times New Roman" w:hAnsi="Times New Roman" w:cs="Times New Roman"/>
          <w:b/>
          <w:bCs/>
          <w:color w:val="000000"/>
          <w:kern w:val="0"/>
          <w14:ligatures w14:val="none"/>
        </w:rPr>
        <w:lastRenderedPageBreak/>
        <w:t>3.4 Learning Needs and Professional Learning Participation</w:t>
      </w:r>
    </w:p>
    <w:p w14:paraId="1BA57D0C" w14:textId="77777777" w:rsidR="00932E61" w:rsidRPr="005A79AA" w:rsidRDefault="00932E61" w:rsidP="008F072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A79AA">
        <w:rPr>
          <w:rFonts w:ascii="Times New Roman" w:eastAsia="Times New Roman" w:hAnsi="Times New Roman" w:cs="Times New Roman"/>
          <w:color w:val="000000"/>
          <w:kern w:val="0"/>
          <w14:ligatures w14:val="none"/>
        </w:rPr>
        <w:t>The fourth stage examines whether professional learning needs predict engagement in professional learning activities. Participation is operationalized as the count of distinct professional learning activity types undertaken during the previous 12 months. To reduce multicollinearity, learning needs are modeled one domain at a time using SEM, with participation treated as the outcome variable.</w:t>
      </w:r>
    </w:p>
    <w:p w14:paraId="13EA6672" w14:textId="77777777" w:rsidR="00932E61" w:rsidRPr="005A79AA" w:rsidRDefault="00932E61" w:rsidP="008F072F">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5A79AA">
        <w:rPr>
          <w:rFonts w:ascii="Times New Roman" w:eastAsia="Times New Roman" w:hAnsi="Times New Roman" w:cs="Times New Roman"/>
          <w:b/>
          <w:bCs/>
          <w:color w:val="000000"/>
          <w:kern w:val="0"/>
          <w14:ligatures w14:val="none"/>
        </w:rPr>
        <w:t>3.5 Longitudinal Context and Trend Examination</w:t>
      </w:r>
    </w:p>
    <w:p w14:paraId="2268E2CE" w14:textId="77777777" w:rsidR="00932E61" w:rsidRPr="005A79AA" w:rsidRDefault="00932E61" w:rsidP="008F072F">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A79AA">
        <w:rPr>
          <w:rFonts w:ascii="Times New Roman" w:eastAsia="Times New Roman" w:hAnsi="Times New Roman" w:cs="Times New Roman"/>
          <w:color w:val="000000"/>
          <w:kern w:val="0"/>
          <w14:ligatures w14:val="none"/>
        </w:rPr>
        <w:t>Finally, the analysis situates Year 4 findings within a </w:t>
      </w:r>
      <w:r w:rsidRPr="000C2508">
        <w:rPr>
          <w:rFonts w:ascii="Times New Roman" w:eastAsia="Times New Roman" w:hAnsi="Times New Roman" w:cs="Times New Roman"/>
          <w:color w:val="000000"/>
          <w:kern w:val="0"/>
          <w14:ligatures w14:val="none"/>
        </w:rPr>
        <w:t>longitudinal context</w:t>
      </w:r>
      <w:r w:rsidRPr="005A79AA">
        <w:rPr>
          <w:rFonts w:ascii="Times New Roman" w:eastAsia="Times New Roman" w:hAnsi="Times New Roman" w:cs="Times New Roman"/>
          <w:color w:val="000000"/>
          <w:kern w:val="0"/>
          <w14:ligatures w14:val="none"/>
        </w:rPr>
        <w:t> by comparing observed competency and learning-need patterns with results from earlier project years. This stage focuses on identifying broad trends and stability over time rather than estimating full longitudinal growth models.</w:t>
      </w:r>
    </w:p>
    <w:p w14:paraId="19DF5EF1" w14:textId="77777777" w:rsidR="00B51092" w:rsidRPr="00B51092" w:rsidRDefault="00B51092" w:rsidP="00B5109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51092">
        <w:rPr>
          <w:rFonts w:ascii="Times New Roman" w:eastAsia="Times New Roman" w:hAnsi="Times New Roman" w:cs="Times New Roman"/>
          <w:b/>
          <w:bCs/>
          <w:color w:val="000000"/>
          <w:kern w:val="0"/>
          <w:sz w:val="27"/>
          <w:szCs w:val="27"/>
          <w14:ligatures w14:val="none"/>
        </w:rPr>
        <w:t>4. Scientific Contribution</w:t>
      </w:r>
    </w:p>
    <w:p w14:paraId="1D87FD4F" w14:textId="77777777" w:rsidR="008F072F" w:rsidRDefault="008F072F" w:rsidP="008F072F">
      <w:pPr>
        <w:pStyle w:val="NormalWeb"/>
        <w:jc w:val="both"/>
        <w:rPr>
          <w:color w:val="000000"/>
        </w:rPr>
      </w:pPr>
      <w:r>
        <w:rPr>
          <w:color w:val="000000"/>
        </w:rPr>
        <w:t xml:space="preserve">This project contributes to the empirical study of professional learning systems by applying </w:t>
      </w:r>
      <w:r w:rsidRPr="000C2508">
        <w:rPr>
          <w:color w:val="000000"/>
        </w:rPr>
        <w:t>a</w:t>
      </w:r>
      <w:r w:rsidRPr="008F072F">
        <w:rPr>
          <w:rStyle w:val="apple-converted-space"/>
          <w:rFonts w:eastAsiaTheme="majorEastAsia"/>
          <w:b/>
          <w:bCs/>
          <w:color w:val="000000"/>
        </w:rPr>
        <w:t> </w:t>
      </w:r>
      <w:r w:rsidRPr="008F072F">
        <w:rPr>
          <w:rStyle w:val="Strong"/>
          <w:rFonts w:eastAsiaTheme="majorEastAsia"/>
          <w:b w:val="0"/>
          <w:bCs w:val="0"/>
          <w:color w:val="000000"/>
        </w:rPr>
        <w:t>staged statistical framework</w:t>
      </w:r>
      <w:r w:rsidRPr="000C2508">
        <w:rPr>
          <w:rStyle w:val="apple-converted-space"/>
          <w:rFonts w:eastAsiaTheme="majorEastAsia"/>
          <w:color w:val="000000"/>
        </w:rPr>
        <w:t> </w:t>
      </w:r>
      <w:r w:rsidRPr="000C2508">
        <w:rPr>
          <w:color w:val="000000"/>
        </w:rPr>
        <w:t xml:space="preserve">to </w:t>
      </w:r>
      <w:r>
        <w:rPr>
          <w:color w:val="000000"/>
        </w:rPr>
        <w:t>examine the implementation of Alberta’s Professional Practice Standards. By integrating descriptive analyses, multivariate group comparisons, latent variable modeling, and longitudinal context, the study provides a coherent statistical account of how educator competencies, professional learning needs, and learning behaviors are structured and related.</w:t>
      </w:r>
    </w:p>
    <w:p w14:paraId="050D7966" w14:textId="77777777" w:rsidR="008F072F" w:rsidRDefault="008F072F" w:rsidP="008F072F">
      <w:pPr>
        <w:pStyle w:val="NormalWeb"/>
        <w:jc w:val="both"/>
        <w:rPr>
          <w:color w:val="000000"/>
        </w:rPr>
      </w:pPr>
      <w:r>
        <w:rPr>
          <w:color w:val="000000"/>
        </w:rPr>
        <w:t>The findings demonstrate that competency implementation varies systematically by teaching experience but not by instructional assignment, that perceived competencies are consistently and negatively associated with corresponding professional learning needs, and that learning needs are modest but reliable predictors of professional learning participation. In addition, the analysis identifies a set of professional learning design characteristics that show strong consensus regarding instructional impact.</w:t>
      </w:r>
    </w:p>
    <w:p w14:paraId="70F6EC48" w14:textId="77777777" w:rsidR="008F072F" w:rsidRDefault="008F072F" w:rsidP="008F072F">
      <w:pPr>
        <w:pStyle w:val="NormalWeb"/>
        <w:jc w:val="both"/>
        <w:rPr>
          <w:color w:val="000000"/>
        </w:rPr>
      </w:pPr>
      <w:r>
        <w:rPr>
          <w:color w:val="000000"/>
        </w:rPr>
        <w:t>Collectively, these results strengthen the empirical foundation for standards-based professional learning by clarifying key statistical relationships among competencies, learning needs, participation, and learning design, and by illustrating how complementary statistical methods can be combined to study complex professional learning processes.</w:t>
      </w:r>
    </w:p>
    <w:p w14:paraId="0CBF6199" w14:textId="77777777" w:rsidR="00A1130E" w:rsidRDefault="00A1130E"/>
    <w:sectPr w:rsidR="00A113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194A"/>
    <w:multiLevelType w:val="multilevel"/>
    <w:tmpl w:val="B06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3273A"/>
    <w:multiLevelType w:val="multilevel"/>
    <w:tmpl w:val="06B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0E0145"/>
    <w:multiLevelType w:val="multilevel"/>
    <w:tmpl w:val="B83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987482">
    <w:abstractNumId w:val="1"/>
  </w:num>
  <w:num w:numId="2" w16cid:durableId="182911911">
    <w:abstractNumId w:val="2"/>
  </w:num>
  <w:num w:numId="3" w16cid:durableId="595795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92"/>
    <w:rsid w:val="000C2508"/>
    <w:rsid w:val="001E645B"/>
    <w:rsid w:val="00280094"/>
    <w:rsid w:val="005353F7"/>
    <w:rsid w:val="005A79AA"/>
    <w:rsid w:val="006D3DB2"/>
    <w:rsid w:val="008F072F"/>
    <w:rsid w:val="00932E61"/>
    <w:rsid w:val="00A1130E"/>
    <w:rsid w:val="00B51092"/>
    <w:rsid w:val="00E723A9"/>
    <w:rsid w:val="00EA662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1D214"/>
  <w15:chartTrackingRefBased/>
  <w15:docId w15:val="{C3AEEE3D-B2B6-AA43-9DFE-1A26B012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1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1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51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1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1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51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092"/>
    <w:rPr>
      <w:rFonts w:eastAsiaTheme="majorEastAsia" w:cstheme="majorBidi"/>
      <w:color w:val="272727" w:themeColor="text1" w:themeTint="D8"/>
    </w:rPr>
  </w:style>
  <w:style w:type="paragraph" w:styleId="Title">
    <w:name w:val="Title"/>
    <w:basedOn w:val="Normal"/>
    <w:next w:val="Normal"/>
    <w:link w:val="TitleChar"/>
    <w:uiPriority w:val="10"/>
    <w:qFormat/>
    <w:rsid w:val="00B51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092"/>
    <w:pPr>
      <w:spacing w:before="160"/>
      <w:jc w:val="center"/>
    </w:pPr>
    <w:rPr>
      <w:i/>
      <w:iCs/>
      <w:color w:val="404040" w:themeColor="text1" w:themeTint="BF"/>
    </w:rPr>
  </w:style>
  <w:style w:type="character" w:customStyle="1" w:styleId="QuoteChar">
    <w:name w:val="Quote Char"/>
    <w:basedOn w:val="DefaultParagraphFont"/>
    <w:link w:val="Quote"/>
    <w:uiPriority w:val="29"/>
    <w:rsid w:val="00B51092"/>
    <w:rPr>
      <w:i/>
      <w:iCs/>
      <w:color w:val="404040" w:themeColor="text1" w:themeTint="BF"/>
    </w:rPr>
  </w:style>
  <w:style w:type="paragraph" w:styleId="ListParagraph">
    <w:name w:val="List Paragraph"/>
    <w:basedOn w:val="Normal"/>
    <w:uiPriority w:val="34"/>
    <w:qFormat/>
    <w:rsid w:val="00B51092"/>
    <w:pPr>
      <w:ind w:left="720"/>
      <w:contextualSpacing/>
    </w:pPr>
  </w:style>
  <w:style w:type="character" w:styleId="IntenseEmphasis">
    <w:name w:val="Intense Emphasis"/>
    <w:basedOn w:val="DefaultParagraphFont"/>
    <w:uiPriority w:val="21"/>
    <w:qFormat/>
    <w:rsid w:val="00B51092"/>
    <w:rPr>
      <w:i/>
      <w:iCs/>
      <w:color w:val="2F5496" w:themeColor="accent1" w:themeShade="BF"/>
    </w:rPr>
  </w:style>
  <w:style w:type="paragraph" w:styleId="IntenseQuote">
    <w:name w:val="Intense Quote"/>
    <w:basedOn w:val="Normal"/>
    <w:next w:val="Normal"/>
    <w:link w:val="IntenseQuoteChar"/>
    <w:uiPriority w:val="30"/>
    <w:qFormat/>
    <w:rsid w:val="00B51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092"/>
    <w:rPr>
      <w:i/>
      <w:iCs/>
      <w:color w:val="2F5496" w:themeColor="accent1" w:themeShade="BF"/>
    </w:rPr>
  </w:style>
  <w:style w:type="character" w:styleId="IntenseReference">
    <w:name w:val="Intense Reference"/>
    <w:basedOn w:val="DefaultParagraphFont"/>
    <w:uiPriority w:val="32"/>
    <w:qFormat/>
    <w:rsid w:val="00B51092"/>
    <w:rPr>
      <w:b/>
      <w:bCs/>
      <w:smallCaps/>
      <w:color w:val="2F5496" w:themeColor="accent1" w:themeShade="BF"/>
      <w:spacing w:val="5"/>
    </w:rPr>
  </w:style>
  <w:style w:type="paragraph" w:styleId="NormalWeb">
    <w:name w:val="Normal (Web)"/>
    <w:basedOn w:val="Normal"/>
    <w:uiPriority w:val="99"/>
    <w:semiHidden/>
    <w:unhideWhenUsed/>
    <w:rsid w:val="00B510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51092"/>
  </w:style>
  <w:style w:type="character" w:styleId="Strong">
    <w:name w:val="Strong"/>
    <w:basedOn w:val="DefaultParagraphFont"/>
    <w:uiPriority w:val="22"/>
    <w:qFormat/>
    <w:rsid w:val="00B51092"/>
    <w:rPr>
      <w:b/>
      <w:bCs/>
    </w:rPr>
  </w:style>
  <w:style w:type="character" w:customStyle="1" w:styleId="relative">
    <w:name w:val="relative"/>
    <w:basedOn w:val="DefaultParagraphFont"/>
    <w:rsid w:val="00B51092"/>
  </w:style>
  <w:style w:type="paragraph" w:customStyle="1" w:styleId="not-prose">
    <w:name w:val="not-prose"/>
    <w:basedOn w:val="Normal"/>
    <w:rsid w:val="00B5109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Wenjun Jiang</dc:creator>
  <cp:keywords/>
  <dc:description/>
  <cp:lastModifiedBy>Wenjun Jiang</cp:lastModifiedBy>
  <cp:revision>2</cp:revision>
  <dcterms:created xsi:type="dcterms:W3CDTF">2026-01-16T07:13:00Z</dcterms:created>
  <dcterms:modified xsi:type="dcterms:W3CDTF">2026-01-16T18:16:00Z</dcterms:modified>
</cp:coreProperties>
</file>