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8EC57" w14:textId="371EC9E2"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A1EAD">
        <w:rPr>
          <w:rFonts w:ascii="Times New Roman" w:eastAsia="Times New Roman" w:hAnsi="Times New Roman" w:cs="Times New Roman"/>
          <w:kern w:val="0"/>
          <w:sz w:val="36"/>
          <w:szCs w:val="36"/>
          <w14:ligatures w14:val="none"/>
        </w:rPr>
        <w:t>SECTION 1. DESCRIPTIVE AND EXPLORATORY ANALYSIS</w:t>
      </w:r>
    </w:p>
    <w:p w14:paraId="363F9541"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PART A. NON-TECHNICAL SUMMARY</w:t>
      </w:r>
    </w:p>
    <w:p w14:paraId="155172F4" w14:textId="77777777" w:rsidR="009A1EAD" w:rsidRDefault="009A1EAD" w:rsidP="009A1EAD">
      <w:pPr>
        <w:pStyle w:val="NormalWeb"/>
      </w:pPr>
      <w:r>
        <w:t>This first part of the analysis was designed to give a clear overall picture of how teachers reported their implementation of the six Teacher Quality Standard (TQS) competency domains across the four survey years, and how Year 4 professional learning needs compare across those same domains. At this stage, the goal was not to test complex causal relationships, but rather to establish a clear descriptive foundation: where teachers appear strongest, where there may be more variability, and whether the overall pattern of responses looks stable across years.</w:t>
      </w:r>
    </w:p>
    <w:p w14:paraId="70B3C7E4" w14:textId="77777777" w:rsidR="009A1EAD" w:rsidRDefault="009A1EAD" w:rsidP="009A1EAD">
      <w:pPr>
        <w:pStyle w:val="NormalWeb"/>
      </w:pPr>
      <w:r>
        <w:t>To do this, we grouped individual survey questions into six competency domains using the mappings provided in the appendix. For each teacher, we then calculated a domain score by averaging the responses to the questions that belonged to that domain. This allowed us to summarize teacher responses in a way that is easier to interpret than reviewing many individual survey questions separately. We repeated this process for each survey year, and for Year 4 we also created parallel scores for professional learning need.</w:t>
      </w:r>
    </w:p>
    <w:p w14:paraId="3C085A15" w14:textId="4E711968" w:rsidR="009A1EAD" w:rsidRDefault="009A1EAD" w:rsidP="009A1EAD">
      <w:pPr>
        <w:pStyle w:val="NormalWeb"/>
      </w:pPr>
      <w:r>
        <w:rPr>
          <w:rStyle w:val="Strong"/>
          <w:rFonts w:eastAsiaTheme="majorEastAsia"/>
        </w:rPr>
        <w:t>Figure 1</w:t>
      </w:r>
      <w:r>
        <w:rPr>
          <w:rStyle w:val="Strong"/>
          <w:rFonts w:eastAsiaTheme="majorEastAsia"/>
        </w:rPr>
        <w:t>A</w:t>
      </w:r>
      <w:r>
        <w:t xml:space="preserve"> provides the main starting point for understanding the data. It shows the average implementation score in each TQS domain across the four survey years. This figure helps answer a simple but important question: are some domains consistently rated higher or lower than others, and does the overall pattern appear stable or does it shift over time? This is often the most useful first figure for non-technical readers because it provides a direct visual comparison across domains and years without requiring them to interpret large tables.</w:t>
      </w:r>
    </w:p>
    <w:p w14:paraId="2774B2D2" w14:textId="63E87AE1" w:rsidR="009A1EAD" w:rsidRDefault="009A1EAD" w:rsidP="009A1EAD">
      <w:pPr>
        <w:pStyle w:val="NormalWeb"/>
      </w:pPr>
      <w:r>
        <w:rPr>
          <w:rStyle w:val="Strong"/>
          <w:rFonts w:eastAsiaTheme="majorEastAsia"/>
        </w:rPr>
        <w:t>Figure 2</w:t>
      </w:r>
      <w:r>
        <w:rPr>
          <w:rStyle w:val="Strong"/>
          <w:rFonts w:eastAsiaTheme="majorEastAsia"/>
        </w:rPr>
        <w:t>A</w:t>
      </w:r>
      <w:r>
        <w:t xml:space="preserve"> focuses only on Year 4 and compares implementation scores with professional learning need scores across the same six domains. This figure is especially useful for practical interpretation because it highlights domains where implementation may already appear relatively strong, as well as domains where teachers may still report greater need for support. It helps connect the descriptive findings to action-oriented questions about where future professional learning may be most relevant. At the same time, this figure should be interpreted with some caution until we confirm that the professional learning need scales are comparable across domains in Year 4.</w:t>
      </w:r>
    </w:p>
    <w:p w14:paraId="42FCD7F0" w14:textId="68BEEA3E" w:rsidR="009A1EAD" w:rsidRDefault="009A1EAD" w:rsidP="009A1EAD">
      <w:pPr>
        <w:pStyle w:val="NormalWeb"/>
      </w:pPr>
      <w:r>
        <w:rPr>
          <w:rStyle w:val="Strong"/>
          <w:rFonts w:eastAsiaTheme="majorEastAsia"/>
        </w:rPr>
        <w:t>Figure 3</w:t>
      </w:r>
      <w:r>
        <w:rPr>
          <w:rStyle w:val="Strong"/>
          <w:rFonts w:eastAsiaTheme="majorEastAsia"/>
        </w:rPr>
        <w:t>A</w:t>
      </w:r>
      <w:r>
        <w:t xml:space="preserve"> shows the correlation structure among the six competency domains in Year 4. This figure helps answer whether stronger implementation in one area tends to occur alongside stronger implementation in other areas. For non-technical readers, this is useful because it shows whether the domains behave like isolated areas or as part of a broader implementation pattern. Domains that are more strongly correlated with others may represent more central or interconnected aspects of teacher practice.</w:t>
      </w:r>
    </w:p>
    <w:p w14:paraId="78F4EE1F" w14:textId="77777777" w:rsidR="009A1EAD" w:rsidRDefault="009A1EAD" w:rsidP="009A1EAD">
      <w:pPr>
        <w:pStyle w:val="NormalWeb"/>
      </w:pPr>
      <w:r>
        <w:t>Together, these figures provide a practical orientation to the data before moving to more formal analyses. In consulting terms, this is the stage where we learn the “shape” of the data: what looks strong, what looks weaker, where there is more spread, and where interpretation requires caution.</w:t>
      </w:r>
    </w:p>
    <w:p w14:paraId="67601697" w14:textId="77777777" w:rsidR="009A1EAD" w:rsidRDefault="009A1EAD" w:rsidP="009A1EAD">
      <w:pPr>
        <w:pStyle w:val="NormalWeb"/>
      </w:pPr>
      <w:r>
        <w:lastRenderedPageBreak/>
        <w:t>A few important cautions emerged from this stage. First, the question mappings differ somewhat between Year 1 and later years, so comparisons across years should be interpreted as descriptive trend comparisons rather than strict one-to-one longitudinal measurement equivalence unless further harmonization is confirmed. Second, the Year 4 appendix notes repeated question numbers between some implementation and professional learning need mappings. Those mappings were preserved exactly as documented for the initial implementation, but they should be confirmed with the client before final interpretation. Third, if the professional learning need items in Year 4 use different raw response scales across domains, raw mean comparisons may not be fully comparable unless those scales are confirmed or standardized.</w:t>
      </w:r>
    </w:p>
    <w:p w14:paraId="6C4F9E4E" w14:textId="77777777" w:rsidR="009A1EAD" w:rsidRDefault="009A1EAD" w:rsidP="009A1EAD">
      <w:pPr>
        <w:pStyle w:val="NormalWeb"/>
      </w:pPr>
      <w:r>
        <w:t>Overall, Section 1 provides the descriptive foundation for the rest of the report. It identifies the broad shape of teacher responses across domains and years, highlights where stronger and weaker areas may lie, and prepares the ground for the more formal analyses that follow in later sections.</w:t>
      </w:r>
    </w:p>
    <w:p w14:paraId="774372AF"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PART B. DETAILED ANALYSIS / METHODS WRITE-UP</w:t>
      </w:r>
    </w:p>
    <w:p w14:paraId="719389EC"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Section 1 addressed three descriptive and exploratory questions. The first question examined the overall levels and distributions of teacher competency implementation across the six Teacher Quality Standard domains for each survey year. The second question focused on Year 4 only and compared teacher implementation scores with professional learning need scores across the six domains. The third question assessed the relationships among the six competency domains by examining correlations among teacher-level composite scores.</w:t>
      </w:r>
    </w:p>
    <w:p w14:paraId="441F2795"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The analysis began by defining domain-level item mappings based on the appendix tables supplied with the project materials. For Year 1, the six competency domains were constructed using the question sets listed in Table 3. For Years 2 and 3, the revised question mappings from Table 3 were used. For Year 4, implementation domain mappings were taken from Table 4, and professional learning need mappings were also taken from Table 4. Because the appendix explicitly noted repeated question numbers in the Year 4 implementation and need tables, these mappings were preserved as documented for the initial analysis, with the recommendation that they be verified with the client before final reporting.</w:t>
      </w:r>
    </w:p>
    <w:p w14:paraId="7A3E5AEA"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Data from Years 1 to 3 were read from Qualtrics-style CSV exports. Because those files contained metadata rows immediately after the header, the first two rows of imported data were removed prior to analysis. Year 4 was imported from the Excel file directly. Only the question variables required for the domain scoring were converted to numeric format, and all other fields were left unchanged at this stage.</w:t>
      </w:r>
    </w:p>
    <w:p w14:paraId="4532B067"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For each domain, teacher-level composite scores were calculated as row means across the items mapped to that domain. To avoid scoring a domain based on too little information, a minimum completion rule was applied: at least 50 percent of the items in a domain had to be non-missing for a teacher to receive a domain score. If fewer than half of the items were observed, the composite score for that domain was set to missing. This rule balances two priorities: retaining as many respondents as reasonably possible while avoiding unstable domain scores based on very limited item information.</w:t>
      </w:r>
    </w:p>
    <w:p w14:paraId="44A640C0"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lastRenderedPageBreak/>
        <w:t>To answer the first descriptive question, summary statistics were computed for each implementation domain within each survey year. These included the number of non-missing observations, mean, standard deviation, median, minimum, and maximum. The purpose of these summaries was to characterize both the central tendency and spread of implementation within each domain. In addition to tabular summaries, two complementary visualizations were created. First, a grouped bar plot displayed the mean implementation score for each domain by year, with standard error bars to show sampling variability around the estimated mean. Second, boxplots were created for each year to visualize the distribution of teacher-level composite scores within each domain, including spread, central tendency, and potential outliers. Together, these summaries and figures provide a practical view of whether some domains are systematically higher or lower than others and whether the variability of responses changes over time.</w:t>
      </w:r>
    </w:p>
    <w:p w14:paraId="390EDDB7"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To answer the second question, Year 4 implementation and professional learning need scores were summarized separately across the six domains. The same summary measures were computed for both constructs, and separate bar plots and boxplots were produced. The implementation plots show the relative level of perceived implementation across domains, while the need plots show how reported professional learning needs are distributed across domains. This comparison is useful for identifying domains that may simultaneously show lower implementation and higher reported need, although interpretation depends on confirming that the professional learning need scales are directly comparable across domains. If the raw response scales differ across need blocks, standardized or rescaled comparisons may be more appropriate than direct raw mean comparison.</w:t>
      </w:r>
    </w:p>
    <w:p w14:paraId="0A5C98C4"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To answer the third question, pairwise correlations among the six teacher competency implementation domains were calculated separately for each survey year using pairwise complete observations. This allowed the analysis to assess whether stronger reported implementation in one domain tends to occur alongside stronger implementation in other domains. Correlation matrices were saved for all four years, and a visual correlation plot was produced for Year 4 to illustrate the overall structure of co-variation among domains. In addition, each domain’s average absolute correlation with the other domains was calculated for Year 4. This ranking provides a simple descriptive way to identify which domains appear most strongly connected to the broader implementation profile.</w:t>
      </w:r>
    </w:p>
    <w:p w14:paraId="1D5D3E2B"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As an additional quality check, Cronbach’s alpha was computed for each Year 4 implementation domain using the items mapped to that domain. These reliability estimates are not a substitute for formal latent variable modeling, but they provide a useful preliminary indication of whether the grouped items behave coherently as domain-level composites. Reporting these reliability estimates in an appendix can strengthen the transparency of the descriptive analysis.</w:t>
      </w:r>
    </w:p>
    <w:p w14:paraId="1D26BC7C"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 xml:space="preserve">Several limitations should be noted. First, the item sets used to represent the competency domains differ somewhat across Years 1 to 4, especially between Year 1 and later years. As a result, cross-year differences should be interpreted as descriptive trend comparisons rather than strict evidence of measurement-invariant change unless additional harmonization or invariance testing is performed. Second, the Year 4 professional learning need mappings include repeated question numbers that overlap with some implementation mappings. This should be clarified with the client to confirm whether the overlap is intentional or the result of documentation issues. </w:t>
      </w:r>
      <w:r w:rsidRPr="009A1EAD">
        <w:rPr>
          <w:rFonts w:ascii="Times New Roman" w:eastAsia="Times New Roman" w:hAnsi="Times New Roman" w:cs="Times New Roman"/>
          <w:kern w:val="0"/>
          <w14:ligatures w14:val="none"/>
        </w:rPr>
        <w:lastRenderedPageBreak/>
        <w:t>Third, the descriptive comparisons assume that item response scales are coded consistently and in the intended direction; confirmation of response coding remains important for final reporting.</w:t>
      </w:r>
    </w:p>
    <w:p w14:paraId="59F94F23" w14:textId="7627550C"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In summary, Section 1 establishes the descriptive structure of the teacher survey data across years and domains. It provides domain-level summaries, Year 4 comparisons between implementation and learning need, and an overview of inter-domain associations. This section serves as the foundation for the later inferential analyses, including group comparisons and structural equation modeling.</w:t>
      </w:r>
    </w:p>
    <w:p w14:paraId="4C5DCA34"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CLIENT CLARIFICATIONS STILL NEEDED FOR SECTION 1</w:t>
      </w:r>
    </w:p>
    <w:p w14:paraId="45231A96"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Before finalizing Section 1, the following points should be confirmed with the client:</w:t>
      </w:r>
    </w:p>
    <w:p w14:paraId="6EBFC355"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We need confirmation that the Year 4 professional learning need mappings in Table 4 are correct, especially where question numbers appear to overlap with implementation items. Because the appendix itself warns about repeated question numbers, this should be verified before the final interpretation of Year 4 need results.</w:t>
      </w:r>
    </w:p>
    <w:p w14:paraId="4DB581B9"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We also need confirmation of the response scales used for both implementation and professional learning need items, including whether all Year 4 need domains use the same raw scale. If different need domains use different response ranges, raw mean comparisons should be avoided or adjusted through standardization.</w:t>
      </w:r>
    </w:p>
    <w:p w14:paraId="473E7AFC"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It would also be helpful to confirm whether the client intends the domain scores to be compared directly across years, especially between Year 1 and later years. If strict comparability is expected, a harmonized common-item approach may be preferable for longitudinal reporting.</w:t>
      </w:r>
    </w:p>
    <w:p w14:paraId="4300FB26"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Finally, it would be useful to confirm whether any items are reverse-coded. The current implementation assumes that higher item values consistently reflect higher implementation or higher learning need, but this should be verified before the final report.</w:t>
      </w:r>
    </w:p>
    <w:p w14:paraId="7E333AD9" w14:textId="77777777" w:rsidR="003070A0" w:rsidRDefault="003070A0"/>
    <w:p w14:paraId="00DECBEB" w14:textId="77777777" w:rsidR="009A1EAD" w:rsidRDefault="009A1EAD"/>
    <w:p w14:paraId="39234FBD" w14:textId="77777777" w:rsidR="009A1EAD" w:rsidRDefault="009A1EAD"/>
    <w:p w14:paraId="71DA6380" w14:textId="77777777" w:rsidR="009A1EAD" w:rsidRDefault="009A1EAD"/>
    <w:p w14:paraId="3855467C" w14:textId="77777777" w:rsidR="009A1EAD" w:rsidRDefault="009A1EAD"/>
    <w:p w14:paraId="0833F1CA" w14:textId="77777777" w:rsidR="009A1EAD" w:rsidRDefault="009A1EAD"/>
    <w:p w14:paraId="733AFB7F" w14:textId="77777777" w:rsidR="009A1EAD" w:rsidRDefault="009A1EAD"/>
    <w:p w14:paraId="7F0C8779" w14:textId="77777777" w:rsidR="009A1EAD" w:rsidRDefault="009A1EAD"/>
    <w:p w14:paraId="405F7582"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A1EAD">
        <w:rPr>
          <w:rFonts w:ascii="Times New Roman" w:eastAsia="Times New Roman" w:hAnsi="Times New Roman" w:cs="Times New Roman"/>
          <w:kern w:val="0"/>
          <w:sz w:val="36"/>
          <w:szCs w:val="36"/>
          <w14:ligatures w14:val="none"/>
        </w:rPr>
        <w:lastRenderedPageBreak/>
        <w:t>SECTION 2. GROUP COMPARISON ANALYSIS</w:t>
      </w:r>
    </w:p>
    <w:p w14:paraId="292BC762"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PART A. NON-TECHNICAL SUMMARY</w:t>
      </w:r>
    </w:p>
    <w:p w14:paraId="54B15B5B" w14:textId="77777777" w:rsidR="009A1EAD" w:rsidRDefault="009A1EAD" w:rsidP="009A1EAD">
      <w:pPr>
        <w:pStyle w:val="NormalWeb"/>
      </w:pPr>
      <w:r>
        <w:t>The purpose of Section 2 was to move beyond overall descriptive summaries and ask whether teacher competency profiles differ meaningfully across important groups. In Year 4, the project questions focus on whether teachers’ competency patterns vary by grade level taught, by subject specialization, and by years of teaching experience. In addition, across the full four-year project period, the analysis asks whether the overall six-domain competency profile differs from one survey year to another.</w:t>
      </w:r>
    </w:p>
    <w:p w14:paraId="330A95B7" w14:textId="77777777" w:rsidR="009A1EAD" w:rsidRDefault="009A1EAD" w:rsidP="009A1EAD">
      <w:pPr>
        <w:pStyle w:val="NormalWeb"/>
      </w:pPr>
      <w:r>
        <w:t xml:space="preserve">To answer these questions, we treated each teacher as having a six-part competency profile, one score for each Teacher Quality Standard domain. Rather than looking at each domain in isolation from the start, we first asked whether the profile </w:t>
      </w:r>
      <w:proofErr w:type="gramStart"/>
      <w:r>
        <w:t>as a whole differs</w:t>
      </w:r>
      <w:proofErr w:type="gramEnd"/>
      <w:r>
        <w:t xml:space="preserve"> across groups. This is why the analysis begins with multivariate analysis of variance, or MANOVA. In simple terms, MANOVA tests whether groups differ when all six competency domains are considered together. This is important because teacher competency is not really a single isolated measure; it is a pattern across several related areas of practice. Looking at the whole profile first gives a more faithful answer to the question being asked.</w:t>
      </w:r>
    </w:p>
    <w:p w14:paraId="381E5749" w14:textId="659BD3E6" w:rsidR="009A1EAD" w:rsidRDefault="009A1EAD" w:rsidP="009A1EAD">
      <w:pPr>
        <w:pStyle w:val="NormalWeb"/>
      </w:pPr>
      <w:r>
        <w:rPr>
          <w:rStyle w:val="Strong"/>
          <w:rFonts w:eastAsiaTheme="majorEastAsia"/>
        </w:rPr>
        <w:t>Figure 1</w:t>
      </w:r>
      <w:r>
        <w:rPr>
          <w:rStyle w:val="Strong"/>
          <w:rFonts w:eastAsiaTheme="majorEastAsia"/>
        </w:rPr>
        <w:t>B</w:t>
      </w:r>
      <w:r>
        <w:t xml:space="preserve"> shows how Year 4 teacher competency profiles vary by grade level taught. This figure helps non-technical readers see whether differences across grade-level groups are small and overlapping, or whether some competencies appear visibly higher or lower </w:t>
      </w:r>
      <w:proofErr w:type="gramStart"/>
      <w:r>
        <w:t>in particular grade</w:t>
      </w:r>
      <w:proofErr w:type="gramEnd"/>
      <w:r>
        <w:t xml:space="preserve"> bands. It provides a practical visual explanation of what the grade-level MANOVA and follow-up ANOVAs are testing.</w:t>
      </w:r>
    </w:p>
    <w:p w14:paraId="7F076222" w14:textId="261D0296" w:rsidR="009A1EAD" w:rsidRDefault="009A1EAD" w:rsidP="009A1EAD">
      <w:pPr>
        <w:pStyle w:val="NormalWeb"/>
      </w:pPr>
      <w:r>
        <w:rPr>
          <w:rStyle w:val="Strong"/>
          <w:rFonts w:eastAsiaTheme="majorEastAsia"/>
        </w:rPr>
        <w:t>Figure 2</w:t>
      </w:r>
      <w:r>
        <w:rPr>
          <w:rStyle w:val="Strong"/>
          <w:rFonts w:eastAsiaTheme="majorEastAsia"/>
        </w:rPr>
        <w:t>B</w:t>
      </w:r>
      <w:r>
        <w:t xml:space="preserve"> presents a similar comparison for teaching experience. This figure is useful because it shows whether competency patterns differ across less experienced and more experienced teachers, and whether those differences appear broad across the entire profile or concentrated in only a few domains. In many practical settings, this type of comparison is especially helpful for identifying whether support strategies should differ by career stage.</w:t>
      </w:r>
    </w:p>
    <w:p w14:paraId="594CB1A7" w14:textId="41F8FAC6" w:rsidR="009A1EAD" w:rsidRDefault="009A1EAD" w:rsidP="009A1EAD">
      <w:pPr>
        <w:pStyle w:val="NormalWeb"/>
      </w:pPr>
      <w:r>
        <w:rPr>
          <w:rStyle w:val="Strong"/>
          <w:rFonts w:eastAsiaTheme="majorEastAsia"/>
        </w:rPr>
        <w:t>Figure 3</w:t>
      </w:r>
      <w:r>
        <w:rPr>
          <w:rStyle w:val="Strong"/>
          <w:rFonts w:eastAsiaTheme="majorEastAsia"/>
        </w:rPr>
        <w:t>B</w:t>
      </w:r>
      <w:r>
        <w:t xml:space="preserve"> places Year 4 in context by showing the average competency profile across the four survey years. This helps answer whether the Year 4 pattern appears broadly consistent with earlier project years or whether the domain structure looks different. For non-technical audiences, this visual is often more intuitive than a cross-year MANOVA table because it makes the relative pattern of domains across time immediately visible.</w:t>
      </w:r>
    </w:p>
    <w:p w14:paraId="6E4844E2" w14:textId="77777777" w:rsidR="009A1EAD" w:rsidRDefault="009A1EAD" w:rsidP="009A1EAD">
      <w:pPr>
        <w:pStyle w:val="NormalWeb"/>
      </w:pPr>
      <w:r>
        <w:t>If the multivariate test suggests that groups differ overall, the next step is to examine which specific domains account for those differences. That is where the follow-up ANOVA analyses come in. For each of the six domains, a separate analysis is conducted to assess whether average scores differ across the groups being compared. When there are more than two groups, post hoc comparisons are used to identify which specific groups differ from one another. Effect sizes are also calculated so that the analysis does not focus only on whether a difference is statistically detectable, but also on whether it appears practically meaningful.</w:t>
      </w:r>
    </w:p>
    <w:p w14:paraId="65877D8C" w14:textId="77777777" w:rsidR="009A1EAD" w:rsidRDefault="009A1EAD" w:rsidP="009A1EAD">
      <w:pPr>
        <w:pStyle w:val="NormalWeb"/>
      </w:pPr>
      <w:r>
        <w:lastRenderedPageBreak/>
        <w:t>This approach was used in three Year 4 settings: grade level taught, subject specialization, and teaching experience. It was also used across the four survey years to assess whether the six-domain implementation profile changed jointly over time. This final comparison should be interpreted as a comparison of repeated respondent samples across project years, not as evidence of change within the same individual teachers, unless the client confirms that respondents are linked across years.</w:t>
      </w:r>
    </w:p>
    <w:p w14:paraId="19E84FD5" w14:textId="77777777" w:rsidR="009A1EAD" w:rsidRDefault="009A1EAD" w:rsidP="009A1EAD">
      <w:pPr>
        <w:pStyle w:val="NormalWeb"/>
      </w:pPr>
      <w:r>
        <w:t>A few consulting cautions are especially important in this section. First, the Year 4 grouping variables for grade level, subject specialization, and teaching experience are not fully interpretable without confirmation of the exact variable names and coding scheme. The code implementation assumes placeholder variables that must be verified before final reporting. Second, if some subgroup categories contain very small numbers of respondents, the results may be unstable or misleading. For this reason, the implementation drops groups with very small sample sizes before fitting the models. Third, the cross-year comparison uses competency composites that are based on year-specific item mappings. This makes the across-year MANOVA useful as a descriptive comparison of competency profiles across project years, but it should not be interpreted as strict measurement-invariant longitudinal change unless additional harmonization is performed.</w:t>
      </w:r>
    </w:p>
    <w:p w14:paraId="07A0505A" w14:textId="4DD65BEB" w:rsidR="009A1EAD" w:rsidRDefault="009A1EAD" w:rsidP="009A1EAD">
      <w:pPr>
        <w:pStyle w:val="NormalWeb"/>
      </w:pPr>
      <w:r>
        <w:t>Overall, Section 2 provides the first formal inferential step in the report. It asks whether the observed differences in competency profiles are simply part of general variation in the sample, or whether they appear to be systematically associated with teaching context, teacher background, or survey year. In consulting terms, this section begins to connect the descriptive picture from Section 1 to questions about where supports, interpretation, or policy attention might need to be differentiated.</w:t>
      </w:r>
    </w:p>
    <w:p w14:paraId="2303CCBE" w14:textId="7F2D4AED"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PART B. DETAILED ANALYSIS / METHODS WRITE-UP</w:t>
      </w:r>
    </w:p>
    <w:p w14:paraId="63D265CB"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Section 2 addressed four group-comparison questions. The first three focused on Year 4 and asked whether teacher competency profiles differed by grade level taught, by subject specialization, and by teaching experience. The fourth asked whether teachers’ implementation levels across the six Teacher Quality Standard competency domains differed jointly across the four survey years.</w:t>
      </w:r>
    </w:p>
    <w:p w14:paraId="1998159C"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The analysis began with the same competency-domain scoring framework developed in Section 1. For each teacher, domain-level implementation scores were created as row means across the set of survey items assigned to each competency domain according to the appendix mappings. Year 1 used the Year 1 mappings from Table 3, Years 2 and 3 used the Year 2/3 mappings from Table 3, and Year 4 used the implementation mappings from Table 4. A minimum completion rule required at least 50 percent of the items in a domain to be non-missing before a composite score was assigned. These domain composites served as the dependent variables in all Section 2 analyses.</w:t>
      </w:r>
    </w:p>
    <w:p w14:paraId="7A81B49F"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 xml:space="preserve">For the Year 4 subgroup analyses, the six implementation composites were treated as a multivariate response vector. Each grouping variable was analyzed separately. The first grouping variable represented grade level taught, the second represented subject specialization, and the </w:t>
      </w:r>
      <w:r w:rsidRPr="009A1EAD">
        <w:rPr>
          <w:rFonts w:ascii="Times New Roman" w:eastAsia="Times New Roman" w:hAnsi="Times New Roman" w:cs="Times New Roman"/>
          <w:kern w:val="0"/>
          <w14:ligatures w14:val="none"/>
        </w:rPr>
        <w:lastRenderedPageBreak/>
        <w:t>third represented teaching experience. Because the appendix identified these concepts but did not explicitly document the exact Year 4 variable names in the shared materials, the implementation included an inspection step to identify likely candidate variables in the Year 4 dataset. Placeholder variable names were then assigned in the code, with the expectation that these would be confirmed and updated once the client provided the codebook or variable definitions.</w:t>
      </w:r>
    </w:p>
    <w:p w14:paraId="5CFB2561"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For each grouping variable, a complete-case analysis dataset was created using the group variable together with the six competency composites. Observations with missing values in the grouping variable or in any of the six composite scores were removed for that analysis. The grouping variable was then converted to a categorical factor. To reduce instability caused by extremely small cells, categories with fewer than five observations were excluded before model fitting. This threshold was included as a practical safeguard against running MANOVA or ANOVA on groups too small to support stable estimation or meaningful interpretation.</w:t>
      </w:r>
    </w:p>
    <w:p w14:paraId="29D5F08D"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The primary inferential model for each Year 4 grouping question was a one-way multivariate analysis of variance (MANOVA), where the six competency composites were analyzed jointly as dependent variables and the grouping variable was the single independent factor. Two common multivariate test statistics were produced: Pillai’s trace and Wilks’ lambda. Pillai’s trace is often preferred in applied settings because it is comparatively robust to violations of assumptions, especially when group sizes are unequal. Wilks’ lambda was also saved to provide a familiar complementary multivariate test.</w:t>
      </w:r>
    </w:p>
    <w:p w14:paraId="0F7A23CC"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If the multivariate analysis suggested differences across groups, the next step was a set of six follow-up univariate ANOVAs, one for each competency domain. These analyses identify which domains contribute most strongly to the overall multivariate difference. To guard against inflated false-positive findings due to multiple testing across six domains, the p-values for the grouping term were adjusted using both the Benjamini–Hochberg procedure and the Holm procedure. The Benjamini–Hochberg adjustment controls the false discovery rate and is useful when screening across multiple related outcomes, while the Holm adjustment is a more conservative family-wise correction. Reporting both gives a more transparent view of which findings are robust to stricter control of multiple testing.</w:t>
      </w:r>
    </w:p>
    <w:p w14:paraId="5BBC0307"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 xml:space="preserve">For each follow-up ANOVA, effect sizes were calculated using </w:t>
      </w:r>
      <w:proofErr w:type="gramStart"/>
      <w:r w:rsidRPr="009A1EAD">
        <w:rPr>
          <w:rFonts w:ascii="Times New Roman" w:eastAsia="Times New Roman" w:hAnsi="Times New Roman" w:cs="Times New Roman"/>
          <w:kern w:val="0"/>
          <w14:ligatures w14:val="none"/>
        </w:rPr>
        <w:t>eta-squared</w:t>
      </w:r>
      <w:proofErr w:type="gramEnd"/>
      <w:r w:rsidRPr="009A1EAD">
        <w:rPr>
          <w:rFonts w:ascii="Times New Roman" w:eastAsia="Times New Roman" w:hAnsi="Times New Roman" w:cs="Times New Roman"/>
          <w:kern w:val="0"/>
          <w14:ligatures w14:val="none"/>
        </w:rPr>
        <w:t>. These effect sizes help distinguish statistically detectable differences from practically meaningful ones. When a grouping variable had more than two categories, Tukey-adjusted post hoc pairwise comparisons were also carried out to identify which specific groups differed from one another within each competency domain. These post hoc results are particularly useful for policy or practice interpretation, since they move beyond the question of whether any group difference exists to the more actionable question of where the difference lies.</w:t>
      </w:r>
    </w:p>
    <w:p w14:paraId="56CD0D0A"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To support interpretation visually, boxplots were produced for each grouping analysis. In these plots, the x-axis represented the grouping variable, the y-axis represented the competency composite score, and separate panels were used for the six competency domains. These plots complement the inferential results by showing the distribution of scores within groups, the spread of responses, and any visible overlap or outlying cases.</w:t>
      </w:r>
    </w:p>
    <w:p w14:paraId="137A2F3F"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lastRenderedPageBreak/>
        <w:t>For the cross-year question, the six competency composites from each year were standardized to a common naming structure so that they could be combined into a single dataset. A survey-year factor with four levels was then created. The same MANOVA-follow-up ANOVA framework was applied, with survey year as the grouping variable. This analysis addressed whether the six-domain implementation profile differed jointly across Years 1, 2, 3, and 4. However, because the item composition of the domains differs somewhat across years, especially between Year 1 and later years, the across-year comparison should be interpreted as a descriptive comparison of project-year profiles rather than as a strict longitudinal measurement-equivalent analysis. In addition, because the data structure does not currently confirm that the same respondents were followed over time, the year effect reflects repeated cross-sectional differences among survey-year samples rather than within-person change.</w:t>
      </w:r>
    </w:p>
    <w:p w14:paraId="51734BF8"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Additional descriptive tables were created for all subgroup and year comparisons, including group-specific means, standard deviations, and non-missing counts for each competency domain. These tables are useful for interpretation because they allow statistically significant results to be examined in the context of their underlying group averages and sample sizes.</w:t>
      </w:r>
    </w:p>
    <w:p w14:paraId="4F3638E4"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Several limitations should be recognized. First, the Year 4 subgroup analyses depend critically on correct identification and interpretation of the group variables. Without a confirmed codebook, final reporting should remain provisional. Second, small subgroup sizes may reduce power and produce unstable estimates, even when categories with very small counts are removed. Third, the use of complete-case analysis means that respondents missing any competency domain score are excluded from the relevant MANOVA, which may reduce the effective sample size and potentially introduce bias if missingness is systematic. Fourth, cross-year comparisons are constrained by partial instrument drift across project years and should therefore be described cautiously.</w:t>
      </w:r>
    </w:p>
    <w:p w14:paraId="794F202D" w14:textId="61B10DCB"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In summary, Section 2 evaluates whether the six-domain teacher competency profile differs across key teaching-related groups in Year 4 and across survey years in the broader project. The use of MANOVA followed by domain-specific ANOVA, effect size estimation, and post hoc group contrasts provides a rigorous and interpretable framework for identifying both overall profile differences and domain-specific sources of those differences.</w:t>
      </w:r>
    </w:p>
    <w:p w14:paraId="6B92472C"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CLIENT CLARIFICATIONS STILL NEEDED FOR SECTION 2</w:t>
      </w:r>
    </w:p>
    <w:p w14:paraId="65C14151"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Before finalizing Section 2, several points should be confirmed with the client.</w:t>
      </w:r>
    </w:p>
    <w:p w14:paraId="41F3B4A4"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The most important issue is confirmation of the exact Year 4 variables corresponding to grade level taught, subject specialization, and teaching experience. The current implementation assumes placeholder fields and converts them to factors for analysis, but final reporting requires verified variable names and their category meanings.</w:t>
      </w:r>
    </w:p>
    <w:p w14:paraId="3D65C6DA"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 xml:space="preserve">A codebook is also needed for these subgroup variables. Even if the correct columns are identified, the results cannot be interpreted substantively unless the categories are known. For example, a coded category may represent elementary, junior high, high school, mixed </w:t>
      </w:r>
      <w:r w:rsidRPr="009A1EAD">
        <w:rPr>
          <w:rFonts w:ascii="Times New Roman" w:eastAsia="Times New Roman" w:hAnsi="Times New Roman" w:cs="Times New Roman"/>
          <w:kern w:val="0"/>
          <w14:ligatures w14:val="none"/>
        </w:rPr>
        <w:lastRenderedPageBreak/>
        <w:t>assignment, or another grouping structure. The same applies to subject specialization and experience ranges.</w:t>
      </w:r>
    </w:p>
    <w:p w14:paraId="048A79C8"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The client should also confirm whether very small subgroup categories should be combined before analysis or reported separately. This matters because some categories may have too few teachers to support meaningful inference, and collapsing sparse groups may improve interpretability and stability.</w:t>
      </w:r>
    </w:p>
    <w:p w14:paraId="4F6EA64D"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For the cross-year analysis, it would be helpful to confirm whether the client intends the four-year comparison to be treated as a descriptive comparison across yearly respondent samples or as a stronger longitudinal claim. If the latter is intended, additional evidence would be needed regarding respondent linkage and measurement comparability across years.</w:t>
      </w:r>
    </w:p>
    <w:p w14:paraId="62EEBE19"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Finally, the client should confirm whether any survey design weights are expected to be used in the subgroup or cross-year analyses. The current implementation treats the data as unweighted respondent samples. If weighted inference is required, the models may need to be modified accordingly.</w:t>
      </w:r>
    </w:p>
    <w:p w14:paraId="7EE8327C" w14:textId="77777777" w:rsidR="006C1FCB" w:rsidRDefault="006C1FCB" w:rsidP="009A1EAD">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01AAF13F" w14:textId="77777777" w:rsidR="006C1FCB" w:rsidRDefault="006C1FCB" w:rsidP="009A1EAD">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0E40275A" w14:textId="77777777" w:rsidR="006C1FCB" w:rsidRDefault="006C1FCB" w:rsidP="009A1EAD">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7B090DDD" w14:textId="77777777" w:rsidR="006C1FCB" w:rsidRDefault="006C1FCB" w:rsidP="009A1EAD">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4CC40248" w14:textId="77777777" w:rsidR="006C1FCB" w:rsidRDefault="006C1FCB" w:rsidP="009A1EAD">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6D9A39F9" w14:textId="77777777" w:rsidR="006C1FCB" w:rsidRDefault="006C1FCB" w:rsidP="009A1EAD">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60CA4BFE" w14:textId="77777777" w:rsidR="006C1FCB" w:rsidRDefault="006C1FCB" w:rsidP="009A1EAD">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5D00BB59" w14:textId="77777777" w:rsidR="006C1FCB" w:rsidRDefault="006C1FCB" w:rsidP="009A1EAD">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6AD75279" w14:textId="77777777" w:rsidR="006C1FCB" w:rsidRDefault="006C1FCB" w:rsidP="009A1EAD">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1C022CB9" w14:textId="77777777" w:rsidR="006C1FCB" w:rsidRDefault="006C1FCB" w:rsidP="009A1EAD">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68BAC8F4" w14:textId="77777777" w:rsidR="006C1FCB" w:rsidRDefault="006C1FCB" w:rsidP="009A1EAD">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5F3D8142" w14:textId="1A7A8130"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9A1EAD">
        <w:rPr>
          <w:rFonts w:ascii="Times New Roman" w:eastAsia="Times New Roman" w:hAnsi="Times New Roman" w:cs="Times New Roman"/>
          <w:kern w:val="0"/>
          <w:sz w:val="36"/>
          <w:szCs w:val="36"/>
          <w14:ligatures w14:val="none"/>
        </w:rPr>
        <w:lastRenderedPageBreak/>
        <w:t xml:space="preserve">SECTION 3. STRUCTURAL RELATIONSHIP ANALYSIS </w:t>
      </w:r>
    </w:p>
    <w:p w14:paraId="55949D83"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PART A. NON-TECHNICAL SUMMARY</w:t>
      </w:r>
    </w:p>
    <w:p w14:paraId="7CCDF3FE" w14:textId="77777777" w:rsidR="006C1FCB" w:rsidRDefault="006C1FCB" w:rsidP="006C1FCB">
      <w:pPr>
        <w:pStyle w:val="NormalWeb"/>
      </w:pPr>
      <w:r>
        <w:t xml:space="preserve">The goal of Section 3 was to move from simple averages and group comparisons to a more refined question: within each Teacher Quality Standard domain, how is </w:t>
      </w:r>
      <w:proofErr w:type="gramStart"/>
      <w:r>
        <w:t>teachers’</w:t>
      </w:r>
      <w:proofErr w:type="gramEnd"/>
      <w:r>
        <w:t xml:space="preserve"> perceived level of implementation related to their reported professional learning need? In practical terms, this section asks whether teachers who report stronger implementation in a domain also tend to report lower need for further support in that same area.</w:t>
      </w:r>
    </w:p>
    <w:p w14:paraId="0416450C" w14:textId="3DB55FB6" w:rsidR="006C1FCB" w:rsidRDefault="006C1FCB" w:rsidP="006C1FCB">
      <w:pPr>
        <w:pStyle w:val="NormalWeb"/>
      </w:pPr>
      <w:r>
        <w:t xml:space="preserve">This question cannot be answered well by relying only on raw survey item averages, because neither “competency implementation” nor “professional learning need” is measured by a single question. Instead, each of these ideas is represented by several related survey items. For that reason, this section uses structural equation modeling, or SEM. SEM allows us to treat each domain as an underlying construct measured indirectly through multiple survey questions. This gives a more principled way to analyze the relationship between implementation and learning need than simply correlating two hand-made composite scores. </w:t>
      </w:r>
      <w:r>
        <w:rPr>
          <w:rStyle w:val="Strong"/>
          <w:rFonts w:eastAsiaTheme="majorEastAsia"/>
        </w:rPr>
        <w:t>Figure 1</w:t>
      </w:r>
      <w:r>
        <w:rPr>
          <w:rStyle w:val="Strong"/>
          <w:rFonts w:eastAsiaTheme="majorEastAsia"/>
        </w:rPr>
        <w:t>C</w:t>
      </w:r>
      <w:r>
        <w:t xml:space="preserve"> provides a simple visual summary of this idea for one domain.</w:t>
      </w:r>
    </w:p>
    <w:p w14:paraId="656394E1" w14:textId="4F60554E" w:rsidR="006C1FCB" w:rsidRDefault="006C1FCB" w:rsidP="006C1FCB">
      <w:pPr>
        <w:pStyle w:val="NormalWeb"/>
      </w:pPr>
      <w:r>
        <w:t xml:space="preserve">For each of the six Teacher Quality Standard domains, we fitted a separate domain-specific model using Year 4 teacher data. In each model, one latent factor represented competency </w:t>
      </w:r>
      <w:proofErr w:type="gramStart"/>
      <w:r>
        <w:t>implementation</w:t>
      </w:r>
      <w:proofErr w:type="gramEnd"/>
      <w:r>
        <w:t xml:space="preserve"> and another latent factor represented the corresponding professional learning need. The key relationship of interest was the regression path from the implementation factor to the need factor. A negative relationship would suggest that teachers who report stronger implementation also tend to report lower professional learning need in that area. A positive relationship would suggest the opposite. A near-zero relationship would suggest little systematic association between the two. The estimated relationship across all six domains is summarized in </w:t>
      </w:r>
      <w:r>
        <w:rPr>
          <w:rStyle w:val="Strong"/>
          <w:rFonts w:eastAsiaTheme="majorEastAsia"/>
        </w:rPr>
        <w:t>Figure 2</w:t>
      </w:r>
      <w:r>
        <w:rPr>
          <w:rStyle w:val="Strong"/>
          <w:rFonts w:eastAsiaTheme="majorEastAsia"/>
        </w:rPr>
        <w:t>C</w:t>
      </w:r>
      <w:r>
        <w:t>.</w:t>
      </w:r>
    </w:p>
    <w:p w14:paraId="38536C6E" w14:textId="32DC7AD0" w:rsidR="006C1FCB" w:rsidRDefault="006C1FCB" w:rsidP="006C1FCB">
      <w:pPr>
        <w:pStyle w:val="NormalWeb"/>
      </w:pPr>
      <w:r>
        <w:t xml:space="preserve">The primary model treated the survey items as ordered response variables and used an estimator designed for ordinal data. This is the most appropriate primary approach because the underlying survey responses are Likert-type items rather than truly continuous measurements. In addition, two sensitivity analyses were conducted. The first removed overlapping items in domains where the appendix mapping used the same question number in both the implementation block and the need block. The second used a more traditional centered numeric formulation with a robust estimator and full-information missing-data handling. These sensitivity analyses were included to test whether the substantive conclusions remained stable under alternative reasonable specifications. The comparison of those model versions is shown in </w:t>
      </w:r>
      <w:r>
        <w:rPr>
          <w:rStyle w:val="Strong"/>
          <w:rFonts w:eastAsiaTheme="majorEastAsia"/>
        </w:rPr>
        <w:t>Figure 3</w:t>
      </w:r>
      <w:r>
        <w:rPr>
          <w:rStyle w:val="Strong"/>
          <w:rFonts w:eastAsiaTheme="majorEastAsia"/>
        </w:rPr>
        <w:t>C</w:t>
      </w:r>
      <w:r>
        <w:t>.</w:t>
      </w:r>
    </w:p>
    <w:p w14:paraId="737398FE" w14:textId="77777777" w:rsidR="006C1FCB" w:rsidRDefault="006C1FCB" w:rsidP="006C1FCB">
      <w:pPr>
        <w:pStyle w:val="NormalWeb"/>
      </w:pPr>
      <w:r>
        <w:t>This section is especially important because it begins to address whether implementation and professional learning need appear to move in opposite directions, as one might expect conceptually. However, the section also revealed an important documentation issue: the Year 4 appendix mapping contains repeated question numbers across some implementation and need domains. That does not necessarily invalidate the analysis, but it means the findings should be interpreted carefully unless the client confirms that the overlap is intentional and correctly documented.</w:t>
      </w:r>
    </w:p>
    <w:p w14:paraId="34C12ABB" w14:textId="77777777" w:rsidR="006C1FCB" w:rsidRDefault="006C1FCB" w:rsidP="006C1FCB">
      <w:pPr>
        <w:pStyle w:val="NormalWeb"/>
      </w:pPr>
      <w:r>
        <w:lastRenderedPageBreak/>
        <w:t xml:space="preserve">Overall, Section 3 provides a more conceptually grounded analysis of the implementation–need relationship within each domain. It goes beyond description by modeling the latent constructs directly, while </w:t>
      </w:r>
      <w:proofErr w:type="gramStart"/>
      <w:r>
        <w:t>still remaining</w:t>
      </w:r>
      <w:proofErr w:type="gramEnd"/>
      <w:r>
        <w:t xml:space="preserve"> cautious and transparent about documentation ambiguity and sensitivity to modeling choices.</w:t>
      </w:r>
    </w:p>
    <w:p w14:paraId="35261ACB"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PART B. DETAILED ANALYSIS / METHODS WRITE-UP</w:t>
      </w:r>
    </w:p>
    <w:p w14:paraId="11DE9D37"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Section 3 addressed the structural relationship question of whether, within each Teacher Quality Standard domain, higher perceived competency implementation is associated with lower corresponding professional learning need. Because both implementation and learning need are represented by multiple survey items rather than directly observed variables, the analysis used structural equation modeling with latent factors.</w:t>
      </w:r>
    </w:p>
    <w:p w14:paraId="2441F4B0"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The SEM analysis was conducted using the Year 4 teacher dataset only. This choice was made because the appendix explicitly provided domain mappings for both implementation items and professional learning need items in Year 4. For each of the six domains, one latent variable represented teacher competency implementation and one latent variable represented professional learning need. Domain-specific item mappings were taken directly from the appendix. Specifically, each competency factor was defined by its corresponding implementation items, and each need factor was defined by its corresponding professional learning need items. A structural regression path was then estimated from the competency factor to the corresponding need factor within the same domain.</w:t>
      </w:r>
    </w:p>
    <w:p w14:paraId="1154D623"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The analysis was implemented as six separate domain-specific SEMs rather than one combined multi-domain SEM. This choice reflects both interpretability and caution. The project question is phrased domain by domain, and the appendix documentation includes repeated question numbers across some implementation and need blocks. Fitting separate models reduces the risk of compounding those documentation issues within a much more complex combined latent structure.</w:t>
      </w:r>
    </w:p>
    <w:p w14:paraId="7EA7BA27"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Before model fitting, all Year 4 items referenced in either the implementation or need mappings were converted to numeric form. Preliminary item inspection was then carried out for every mapped item. This inspection documented whether each item was present in the dataset, how many non-missing and missing responses it had, and what unique response values were observed. This step served as an early data-quality screen and helped identify whether items appeared to behave like ordinal survey responses.</w:t>
      </w:r>
    </w:p>
    <w:p w14:paraId="039D6847"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 xml:space="preserve">A domain-overlap table was also generated to identify any question numbers that appeared in both the implementation and need mappings for the same domain pair. This was an important step because Table 4 in the appendix explicitly warns that some question numbers are replicated. Such overlap may represent either a substantive design feature or a documentation problem. Because this ambiguity affects the interpretation of latent-variable models, the overlap was preserved in the primary model exactly as </w:t>
      </w:r>
      <w:proofErr w:type="gramStart"/>
      <w:r w:rsidRPr="009A1EAD">
        <w:rPr>
          <w:rFonts w:ascii="Times New Roman" w:eastAsia="Times New Roman" w:hAnsi="Times New Roman" w:cs="Times New Roman"/>
          <w:kern w:val="0"/>
          <w14:ligatures w14:val="none"/>
        </w:rPr>
        <w:t>documented, and</w:t>
      </w:r>
      <w:proofErr w:type="gramEnd"/>
      <w:r w:rsidRPr="009A1EAD">
        <w:rPr>
          <w:rFonts w:ascii="Times New Roman" w:eastAsia="Times New Roman" w:hAnsi="Times New Roman" w:cs="Times New Roman"/>
          <w:kern w:val="0"/>
          <w14:ligatures w14:val="none"/>
        </w:rPr>
        <w:t xml:space="preserve"> then addressed through a sensitivity analysis.</w:t>
      </w:r>
    </w:p>
    <w:p w14:paraId="48B613E1"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lastRenderedPageBreak/>
        <w:t xml:space="preserve">The primary SEM analysis treated the survey items as ordered categorical indicators and was fitted using the </w:t>
      </w:r>
      <w:proofErr w:type="spellStart"/>
      <w:r w:rsidRPr="009A1EAD">
        <w:rPr>
          <w:rFonts w:ascii="Courier New" w:eastAsia="Times New Roman" w:hAnsi="Courier New" w:cs="Courier New"/>
          <w:kern w:val="0"/>
          <w:sz w:val="20"/>
          <w:szCs w:val="20"/>
          <w14:ligatures w14:val="none"/>
        </w:rPr>
        <w:t>lavaan</w:t>
      </w:r>
      <w:proofErr w:type="spellEnd"/>
      <w:r w:rsidRPr="009A1EAD">
        <w:rPr>
          <w:rFonts w:ascii="Times New Roman" w:eastAsia="Times New Roman" w:hAnsi="Times New Roman" w:cs="Times New Roman"/>
          <w:kern w:val="0"/>
          <w14:ligatures w14:val="none"/>
        </w:rPr>
        <w:t xml:space="preserve"> package with the WLSMV estimator, theta parameterization, and standardized latent variables. This was chosen as the primary approach because the survey responses are ordinal Likert-type data, and WLSMV is widely recommended for SEM with ordered indicators. The model did not include a mean structure, in line with the conceptual focus on structural relations rather than latent means. For each domain, the measurement model specified one latent implementation factor and one latent need factor, and the structural model regressed the need factor on the implementation factor. The resulting regression coefficient was the central parameter of interest. Standardized estimates were extracted to facilitate interpretation across domains.</w:t>
      </w:r>
    </w:p>
    <w:p w14:paraId="0C257F66"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For each primary model, the following outputs were saved: the full textual SEM summary, standardized parameter estimates, factor loadings, structural path estimates, and standard fit indices, including chi-square, degrees of freedom, p-value, CFI, TLI, RMSEA, and SRMR. Path diagrams were also generated where possible for visualization and reporting support.</w:t>
      </w:r>
    </w:p>
    <w:p w14:paraId="15952BAC"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Because some domains contained overlapping indicators between the implementation and need blocks, a first sensitivity analysis was conducted in which overlapping indicators were removed from the need block while preserving the implementation block. This was done only when the resulting need factor still had at least three indicators, so that a minimally identified measurement model remained possible. The purpose of this sensitivity analysis was to assess whether the primary structural conclusions depended heavily on shared items between predictor and outcome factors.</w:t>
      </w:r>
    </w:p>
    <w:p w14:paraId="16B92121"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A second sensitivity analysis followed the appendix description more closely by centering the observed item variables and treating them as continuous numeric indicators. These centered numeric models were fitted using robust maximum likelihood estimation with full-information maximum likelihood handling of missing data. This specification is not the preferred primary model for ordinal survey items, but it serves as a useful robustness check because it corresponds more closely to the appendix wording that all data should be centered before fitting the structural equation model.</w:t>
      </w:r>
    </w:p>
    <w:p w14:paraId="5738B8F1"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After fitting the three model versions—primary ordered WLSMV, overlap-removed WLSMV sensitivity, and centered robust MLR sensitivity—the structural path estimates were combined into a single comparison table. This allowed direct comparison of the estimated relationship between implementation and need across domains and across model specifications. A summary plot of the standardized path coefficients was also produced so that the sign and magnitude of the implementation-to-need relationship could be visually compared across domains and estimation strategies.</w:t>
      </w:r>
    </w:p>
    <w:p w14:paraId="361BDA1B"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 xml:space="preserve">The interpretation of the main SEM coefficient is straightforward in principle. A negative standardized path from competency to need indicates that teachers who report stronger implementation in that domain also tend to report lower learning need in the same domain. A positive coefficient indicates that higher reported implementation is associated with higher reported learning need, which may reflect more complex substantive dynamics such as greater </w:t>
      </w:r>
      <w:r w:rsidRPr="009A1EAD">
        <w:rPr>
          <w:rFonts w:ascii="Times New Roman" w:eastAsia="Times New Roman" w:hAnsi="Times New Roman" w:cs="Times New Roman"/>
          <w:kern w:val="0"/>
          <w14:ligatures w14:val="none"/>
        </w:rPr>
        <w:lastRenderedPageBreak/>
        <w:t>awareness of improvement areas among more engaged teachers. A coefficient near zero indicates little systematic association between the two latent constructs in that domain.</w:t>
      </w:r>
    </w:p>
    <w:p w14:paraId="658B0E81"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Several limitations should be noted. First, the Year 4 appendix contains repeated question numbers across implementation and need mappings, which introduces ambiguity into the domain definitions. Although this was addressed through sensitivity analyses, final interpretation should remain cautious until the client confirms the intended mappings. Second, the models are cross-sectional and therefore do not support causal interpretation. Even if higher implementation is associated with lower need, this does not establish that one causes the other. Third, the models were fitted domain by domain rather than as a single integrated system, which is appropriate for the project question and documentation quality but means the results do not represent a single unified latent framework across all domains. Fourth, fit indices and path estimates should be interpreted jointly rather than relying on any single criterion.</w:t>
      </w:r>
    </w:p>
    <w:p w14:paraId="15CB358D" w14:textId="32AE9623"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In summary, Section 3 uses latent-variable SEM to model the relationship between competency implementation and professional learning need within each TQS domain. The primary analysis uses an ordinal SEM framework appropriate for survey data, while sensitivity analyses assess the effect of overlapping indicators and alternative estimator assumptions. This section provides the most conceptually direct analysis of the implementation–need relationship in the report while maintaining transparency about the limitations imposed by the current appendix mapping.</w:t>
      </w:r>
    </w:p>
    <w:p w14:paraId="2FD2291B"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CLIENT CLARIFICATIONS STILL NEEDED FOR SECTION 3</w:t>
      </w:r>
    </w:p>
    <w:p w14:paraId="2C7FC435"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Before finalizing Section 3, several client clarifications are especially important.</w:t>
      </w:r>
    </w:p>
    <w:p w14:paraId="3C96DF19"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The most important issue is confirmation of the Year 4 item mappings in Table 4, particularly where the same question numbers appear in both implementation and need blocks. This must be clarified because shared indicators between predictor and outcome factors can materially affect SEM interpretation. The current implementation preserves the mapping exactly as documented, but final reporting should not treat these mappings as definitively correct until the client confirms them.</w:t>
      </w:r>
    </w:p>
    <w:p w14:paraId="02F9A49E"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The client should also confirm the exact response scale used for the Year 4 implementation and professional learning need items. The primary SEM treats these items as ordered categorical responses, which is appropriate for Likert-type data, but the validity of that approach depends on the items indeed reflecting ordinal response categories in the expected direction.</w:t>
      </w:r>
    </w:p>
    <w:p w14:paraId="3E2CEF68"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It would also be useful to confirm whether any items are reverse-coded. The SEM implementation assumes that higher response values consistently indicate higher implementation or higher need, depending on the construct. If any items are reverse-worded and were not recoded beforehand, the factor structure and path estimates could be distorted.</w:t>
      </w:r>
    </w:p>
    <w:p w14:paraId="5CE9307D"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The client should clarify whether the appendix’s repeated question numbers are intentional because the same content was used in multiple contexts, or whether they reflect a documentation or transcription issue in Table 4. This distinction matters not only for the sensitivity analysis but also for the substantive meaning of the domain-specific latent constructs.</w:t>
      </w:r>
    </w:p>
    <w:p w14:paraId="78F615BB"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lastRenderedPageBreak/>
        <w:t>Finally, the client should confirm whether the Year 4 SEM is intended as a confirmatory domain-by-domain model only, or whether there is an expectation to build a larger combined SEM across all domains. Given the current documentation, the domain-specific models are the most defensible approach, but if a combined model is desired, additional clarification and likely further harmonization would be needed.</w:t>
      </w:r>
    </w:p>
    <w:p w14:paraId="25A4CF18" w14:textId="77777777" w:rsidR="009A1EAD" w:rsidRDefault="009A1EAD"/>
    <w:p w14:paraId="09479E68" w14:textId="77777777" w:rsidR="009A1EAD" w:rsidRDefault="009A1EAD"/>
    <w:p w14:paraId="322B479D" w14:textId="77777777" w:rsidR="009A1EAD" w:rsidRDefault="009A1EAD"/>
    <w:p w14:paraId="2EC8B983" w14:textId="77777777" w:rsidR="009A1EAD" w:rsidRDefault="009A1EAD"/>
    <w:p w14:paraId="3AC4C45C" w14:textId="77777777" w:rsidR="009A1EAD" w:rsidRDefault="009A1EAD"/>
    <w:p w14:paraId="0AB55335" w14:textId="77777777" w:rsidR="009A1EAD" w:rsidRDefault="009A1EAD"/>
    <w:p w14:paraId="37FB7BB5" w14:textId="77777777" w:rsidR="009A1EAD" w:rsidRDefault="009A1EAD"/>
    <w:p w14:paraId="48D6786D" w14:textId="77777777" w:rsidR="009A1EAD" w:rsidRDefault="009A1EAD"/>
    <w:p w14:paraId="5BC741AA" w14:textId="77777777" w:rsidR="009A1EAD" w:rsidRDefault="009A1EAD"/>
    <w:p w14:paraId="53C518C0" w14:textId="77777777" w:rsidR="009A1EAD" w:rsidRDefault="009A1EAD"/>
    <w:p w14:paraId="5908F9DE" w14:textId="77777777" w:rsidR="009A1EAD" w:rsidRDefault="009A1EAD"/>
    <w:p w14:paraId="2600885F" w14:textId="77777777" w:rsidR="009A1EAD" w:rsidRDefault="009A1EAD"/>
    <w:p w14:paraId="2A30A994" w14:textId="77777777" w:rsidR="009A1EAD" w:rsidRDefault="009A1EAD"/>
    <w:p w14:paraId="4B9CA21B" w14:textId="77777777" w:rsidR="009A1EAD" w:rsidRDefault="009A1EAD"/>
    <w:p w14:paraId="501029AB" w14:textId="77777777" w:rsidR="009A1EAD" w:rsidRDefault="009A1EAD"/>
    <w:p w14:paraId="11198967" w14:textId="77777777" w:rsidR="009A1EAD" w:rsidRDefault="009A1EAD"/>
    <w:p w14:paraId="217C78A8" w14:textId="77777777" w:rsidR="009A1EAD" w:rsidRDefault="009A1EAD"/>
    <w:p w14:paraId="50970C53" w14:textId="77777777" w:rsidR="009A1EAD" w:rsidRDefault="009A1EAD"/>
    <w:p w14:paraId="75FFACA9" w14:textId="77777777" w:rsidR="009A1EAD" w:rsidRDefault="009A1EAD"/>
    <w:p w14:paraId="6535A5A7" w14:textId="77777777" w:rsidR="009A1EAD" w:rsidRDefault="009A1EAD"/>
    <w:p w14:paraId="47C6CF39" w14:textId="77777777" w:rsidR="009A1EAD" w:rsidRDefault="009A1EAD"/>
    <w:p w14:paraId="5474D277" w14:textId="77777777" w:rsidR="002215CA" w:rsidRDefault="002215CA"/>
    <w:p w14:paraId="46234AC7" w14:textId="77777777" w:rsidR="009A1EAD" w:rsidRPr="009A1EAD" w:rsidRDefault="009A1EAD" w:rsidP="009A1EA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9A1EAD">
        <w:rPr>
          <w:rFonts w:ascii="Times New Roman" w:eastAsia="Times New Roman" w:hAnsi="Times New Roman" w:cs="Times New Roman"/>
          <w:kern w:val="0"/>
          <w:sz w:val="36"/>
          <w:szCs w:val="36"/>
          <w14:ligatures w14:val="none"/>
        </w:rPr>
        <w:lastRenderedPageBreak/>
        <w:t>SECTION 4. LONGITUDINAL CONTEXT ANALYSIS</w:t>
      </w:r>
    </w:p>
    <w:p w14:paraId="52F87F12" w14:textId="77777777" w:rsidR="009A1EAD" w:rsidRPr="009A1EAD" w:rsidRDefault="009A1EAD" w:rsidP="009A1EAD">
      <w:pPr>
        <w:spacing w:before="100" w:beforeAutospacing="1" w:after="100" w:afterAutospacing="1" w:line="240" w:lineRule="auto"/>
        <w:outlineLvl w:val="2"/>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PART A. NON-TECHNICAL SUMMARY</w:t>
      </w:r>
    </w:p>
    <w:p w14:paraId="222FBA05"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The purpose of Section 4 was to place the Year 4 findings in a broader project-year context. This section addresses two related questions. First, it asks how professional learning needs change over time across project years. Second, it asks whether the pattern observed in Year 4 is consistent with the patterns seen in earlier years. In practical terms, this section is meant to answer whether Year 4 looks like a continuation of an existing trend or whether it appears to depart from what had been seen before.</w:t>
      </w:r>
    </w:p>
    <w:p w14:paraId="1C001B8C" w14:textId="7225A2CE"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 xml:space="preserve">A key issue emerged immediately from the project documentation. The appendix provides clear question mappings for teacher implementation domains across Years 1, 2, 3, and 4. However, explicit mappings for professional learning need are only available for Year 4. This means that a defensible longitudinal analysis of implementation across all four years is possible, but a full longitudinal analysis of professional learning need across all four years is not yet supported by the documentation currently available. As consultants, this matters because the responsible answer is not just what we would like to analyze, but what the data and documentation </w:t>
      </w:r>
      <w:proofErr w:type="gramStart"/>
      <w:r w:rsidRPr="009A1EAD">
        <w:rPr>
          <w:rFonts w:ascii="Times New Roman" w:eastAsia="Times New Roman" w:hAnsi="Times New Roman" w:cs="Times New Roman"/>
          <w:kern w:val="0"/>
          <w14:ligatures w14:val="none"/>
        </w:rPr>
        <w:t>actually permit</w:t>
      </w:r>
      <w:proofErr w:type="gramEnd"/>
      <w:r w:rsidRPr="009A1EAD">
        <w:rPr>
          <w:rFonts w:ascii="Times New Roman" w:eastAsia="Times New Roman" w:hAnsi="Times New Roman" w:cs="Times New Roman"/>
          <w:kern w:val="0"/>
          <w14:ligatures w14:val="none"/>
        </w:rPr>
        <w:t xml:space="preserve"> us to analyze well. This distinction is summarized visually in </w:t>
      </w:r>
      <w:r w:rsidRPr="009A1EAD">
        <w:rPr>
          <w:rFonts w:ascii="Times New Roman" w:eastAsia="Times New Roman" w:hAnsi="Times New Roman" w:cs="Times New Roman"/>
          <w:b/>
          <w:bCs/>
          <w:kern w:val="0"/>
          <w14:ligatures w14:val="none"/>
        </w:rPr>
        <w:t>Figure 4</w:t>
      </w:r>
      <w:r w:rsidR="006C1FCB">
        <w:rPr>
          <w:rFonts w:ascii="Times New Roman" w:eastAsia="Times New Roman" w:hAnsi="Times New Roman" w:cs="Times New Roman"/>
          <w:b/>
          <w:bCs/>
          <w:kern w:val="0"/>
          <w14:ligatures w14:val="none"/>
        </w:rPr>
        <w:t>D</w:t>
      </w:r>
      <w:r w:rsidRPr="009A1EAD">
        <w:rPr>
          <w:rFonts w:ascii="Times New Roman" w:eastAsia="Times New Roman" w:hAnsi="Times New Roman" w:cs="Times New Roman"/>
          <w:kern w:val="0"/>
          <w14:ligatures w14:val="none"/>
        </w:rPr>
        <w:t>.</w:t>
      </w:r>
    </w:p>
    <w:p w14:paraId="4B2D9982" w14:textId="28E3A2F0"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 xml:space="preserve">For that reason, Section 4 is divided into two parts. The first part focuses on implementation trends across the four survey years. This part is fully supported by the appendix and allows us to compare the six Teacher Quality Standard domains over time. We summarize how domain scores change from year to year, visualize the pattern of means and score distributions, and formally test whether implementation levels differ across years within each domain. The overall implementation trend pattern across the four years is shown in </w:t>
      </w:r>
      <w:r w:rsidRPr="009A1EAD">
        <w:rPr>
          <w:rFonts w:ascii="Times New Roman" w:eastAsia="Times New Roman" w:hAnsi="Times New Roman" w:cs="Times New Roman"/>
          <w:b/>
          <w:bCs/>
          <w:kern w:val="0"/>
          <w14:ligatures w14:val="none"/>
        </w:rPr>
        <w:t>Figure 1</w:t>
      </w:r>
      <w:r w:rsidR="006C1FCB">
        <w:rPr>
          <w:rFonts w:ascii="Times New Roman" w:eastAsia="Times New Roman" w:hAnsi="Times New Roman" w:cs="Times New Roman"/>
          <w:b/>
          <w:bCs/>
          <w:kern w:val="0"/>
          <w14:ligatures w14:val="none"/>
        </w:rPr>
        <w:t>D</w:t>
      </w:r>
      <w:r w:rsidRPr="009A1EAD">
        <w:rPr>
          <w:rFonts w:ascii="Times New Roman" w:eastAsia="Times New Roman" w:hAnsi="Times New Roman" w:cs="Times New Roman"/>
          <w:kern w:val="0"/>
          <w14:ligatures w14:val="none"/>
        </w:rPr>
        <w:t>.</w:t>
      </w:r>
    </w:p>
    <w:p w14:paraId="2F66ED4A" w14:textId="397D3CFB"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 xml:space="preserve">We also examine whether the Year 4 profile is </w:t>
      </w:r>
      <w:proofErr w:type="gramStart"/>
      <w:r w:rsidRPr="009A1EAD">
        <w:rPr>
          <w:rFonts w:ascii="Times New Roman" w:eastAsia="Times New Roman" w:hAnsi="Times New Roman" w:cs="Times New Roman"/>
          <w:kern w:val="0"/>
          <w14:ligatures w14:val="none"/>
        </w:rPr>
        <w:t>similar to</w:t>
      </w:r>
      <w:proofErr w:type="gramEnd"/>
      <w:r w:rsidRPr="009A1EAD">
        <w:rPr>
          <w:rFonts w:ascii="Times New Roman" w:eastAsia="Times New Roman" w:hAnsi="Times New Roman" w:cs="Times New Roman"/>
          <w:kern w:val="0"/>
          <w14:ligatures w14:val="none"/>
        </w:rPr>
        <w:t xml:space="preserve"> the profiles observed in earlier years by comparing the rank ordering of domains and the overall shape of the mean domain pattern. This helps answer whether Year 4 looks broadly like a continuation of the earlier project pattern or whether it appears to stand apart. The year-by-year domain distributions that support this comparison are illustrated in </w:t>
      </w:r>
      <w:r w:rsidRPr="009A1EAD">
        <w:rPr>
          <w:rFonts w:ascii="Times New Roman" w:eastAsia="Times New Roman" w:hAnsi="Times New Roman" w:cs="Times New Roman"/>
          <w:b/>
          <w:bCs/>
          <w:kern w:val="0"/>
          <w14:ligatures w14:val="none"/>
        </w:rPr>
        <w:t>Figure 2</w:t>
      </w:r>
      <w:r w:rsidR="006C1FCB">
        <w:rPr>
          <w:rFonts w:ascii="Times New Roman" w:eastAsia="Times New Roman" w:hAnsi="Times New Roman" w:cs="Times New Roman"/>
          <w:b/>
          <w:bCs/>
          <w:kern w:val="0"/>
          <w14:ligatures w14:val="none"/>
        </w:rPr>
        <w:t>D</w:t>
      </w:r>
      <w:r w:rsidRPr="009A1EAD">
        <w:rPr>
          <w:rFonts w:ascii="Times New Roman" w:eastAsia="Times New Roman" w:hAnsi="Times New Roman" w:cs="Times New Roman"/>
          <w:kern w:val="0"/>
          <w14:ligatures w14:val="none"/>
        </w:rPr>
        <w:t>.</w:t>
      </w:r>
    </w:p>
    <w:p w14:paraId="1AA9FA4A" w14:textId="14993803"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 xml:space="preserve">The second part concerns professional learning need. Since explicit mappings are only available for Year 4, the analysis can currently describe the Year 4 professional learning need profile in detail, but it cannot yet estimate how those needs changed over the full project period. Rather than forcing a weak or undocumented longitudinal comparison, the analysis instead states clearly that additional mappings for Years 1 to 3 are required before that question can be answered properly. This is an important consulting point: sometimes the correct answer is not to overreach, but to define what is and is not currently defensible. The Year 4 professional learning need profile is shown in </w:t>
      </w:r>
      <w:r w:rsidRPr="009A1EAD">
        <w:rPr>
          <w:rFonts w:ascii="Times New Roman" w:eastAsia="Times New Roman" w:hAnsi="Times New Roman" w:cs="Times New Roman"/>
          <w:b/>
          <w:bCs/>
          <w:kern w:val="0"/>
          <w14:ligatures w14:val="none"/>
        </w:rPr>
        <w:t>Figure 3</w:t>
      </w:r>
      <w:r w:rsidR="006C1FCB">
        <w:rPr>
          <w:rFonts w:ascii="Times New Roman" w:eastAsia="Times New Roman" w:hAnsi="Times New Roman" w:cs="Times New Roman"/>
          <w:b/>
          <w:bCs/>
          <w:kern w:val="0"/>
          <w14:ligatures w14:val="none"/>
        </w:rPr>
        <w:t>D</w:t>
      </w:r>
      <w:r w:rsidRPr="009A1EAD">
        <w:rPr>
          <w:rFonts w:ascii="Times New Roman" w:eastAsia="Times New Roman" w:hAnsi="Times New Roman" w:cs="Times New Roman"/>
          <w:kern w:val="0"/>
          <w14:ligatures w14:val="none"/>
        </w:rPr>
        <w:t>.</w:t>
      </w:r>
    </w:p>
    <w:p w14:paraId="05F3AA86"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 xml:space="preserve">This section should also be interpreted carefully because the four survey years do not currently appear to represent a linked panel of the same teachers followed over time. Instead, the analysis is better understood as a repeated cross-sectional comparison of yearly respondent samples. That means the results speak to how the average profile of respondents differed across project years, </w:t>
      </w:r>
      <w:r w:rsidRPr="009A1EAD">
        <w:rPr>
          <w:rFonts w:ascii="Times New Roman" w:eastAsia="Times New Roman" w:hAnsi="Times New Roman" w:cs="Times New Roman"/>
          <w:kern w:val="0"/>
          <w14:ligatures w14:val="none"/>
        </w:rPr>
        <w:lastRenderedPageBreak/>
        <w:t>not to how individual teachers changed over time. In addition, some domain item sets differ between Year 1 and later years, so the year-to-year comparisons should be treated as trend context rather than as strict evidence of perfectly equivalent measurement over time.</w:t>
      </w:r>
    </w:p>
    <w:p w14:paraId="6FE18EA6"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Overall, Section 4 provides an important bridge between the year-specific analyses and the broader project story. It shows whether Year 4 fits within the larger pattern of implementation seen across the initiative, while also being transparent about the current limits of what can be said about learning needs over time.</w:t>
      </w:r>
    </w:p>
    <w:p w14:paraId="7F3FF93C"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PART B. DETAILED ANALYSIS / METHODS WRITE-UP</w:t>
      </w:r>
    </w:p>
    <w:p w14:paraId="54497027"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Section 4 addressed two longitudinal context questions. The first asked how professional learning needs change over time across project years. The second asked whether the implementation patterns observed in Year 4 are consistent with trends identified in earlier years of the project. The analysis was designed with an explicit distinction between what is fully supported by the appendix and what remains only partially supported.</w:t>
      </w:r>
    </w:p>
    <w:p w14:paraId="20605DAA"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The implementation trend analysis across Years 1 to 4 was fully supported because the appendix provided domain mappings for the six Teacher Quality Standard competency domains in each of those years. Year 1 used the implementation mappings from Table 3 specific to that year. Years 2 and 3 used the shared mappings documented for those years. Year 4 used the implementation mappings from Table 4. As in earlier sections, teacher-level domain scores were created as row means across the items assigned to each domain, subject to a minimum completion rule requiring at least half of the domain items to be observed before a composite was assigned.</w:t>
      </w:r>
    </w:p>
    <w:p w14:paraId="2BF5FFE7"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After scoring each year separately, the six implementation domains were standardized to a common naming structure so that they could be combined into a single four-year dataset. A year factor with four levels was then added to indicate the project year. This created a repeated cross-sectional dataset in which each row represented one teacher’s competency profile in one survey year. The resulting long-format dataset allowed descriptive and inferential comparisons across years.</w:t>
      </w:r>
    </w:p>
    <w:p w14:paraId="1766FCCA"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Descriptive trend tables were then created for implementation scores by domain and year. For each domain-year combination, the analysis calculated the number of non-missing observations, mean, standard deviation, median, and interquartile range information. These summary statistics provide an overview of both central tendency and variation over time. To visualize these trends, two complementary figures were produced. The first was a line plot showing the mean implementation score for each domain across the four survey years, with standard error bars included to represent uncertainty in the sample mean. The second was a set of boxplots displaying the distribution of implementation scores across years within each domain. These plots make it easier to see whether domain trends are gradual, stable, or variable, and whether the spread of responses changes over time.</w:t>
      </w:r>
    </w:p>
    <w:p w14:paraId="64FC89E0"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 xml:space="preserve">To formally assess whether implementation scores differed across years, a one-way analysis of variance was fitted separately within each competency domain, with survey year as the grouping variable. This yielded a domain-specific test of whether the average implementation score varied </w:t>
      </w:r>
      <w:r w:rsidRPr="009A1EAD">
        <w:rPr>
          <w:rFonts w:ascii="Times New Roman" w:eastAsia="Times New Roman" w:hAnsi="Times New Roman" w:cs="Times New Roman"/>
          <w:kern w:val="0"/>
          <w14:ligatures w14:val="none"/>
        </w:rPr>
        <w:lastRenderedPageBreak/>
        <w:t>across the four project years. Because six parallel ANOVAs were conducted, p-values for the year effect were adjusted using both the Benjamini–Hochberg and Holm procedures. These adjustments reduce the risk of overstating significance when conducting multiple related tests.</w:t>
      </w:r>
    </w:p>
    <w:p w14:paraId="474254EE"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The second major part of the implementation analysis was designed specifically to address whether Year 4 is consistent with earlier years. This was done in two ways. First, within each year, the six domains were ranked by their mean implementation score. Comparing these within-year rankings provides a simple descriptive way to see whether the same domains tended to remain relatively higher or lower across years. Second, the analysis created a domain-by-year table of mean scores and then computed the correlation between the overall Year 4 domain profile and the corresponding profiles from Years 1, 2, and 3. These profile correlations quantify how similar the shape of the Year 4 pattern is to the earlier project-year patterns. A high positive correlation suggests that Year 4 retained a similar pattern of relative domain strengths and lower-scoring areas, even if absolute levels changed somewhat.</w:t>
      </w:r>
    </w:p>
    <w:p w14:paraId="56C10048"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The professional learning need question required a different treatment. Based on the appendix provided, explicit item mappings for professional learning need are available only for Year 4. As a result, a true four-year longitudinal analysis of need is not currently defensible. Rather than attempting to infer missing mappings or treat unrelated items as if they were comparable, the analysis explicitly limits itself to describing the Year 4 learning-need profile. For Year 4, domain-level need scores were calculated using the documented mappings, and summary statistics and boxplots were created for those six domains. This provides a detailed view of the Year 4 professional learning need structure, but it does not answer the question of how those needs changed over time across the full project period.</w:t>
      </w:r>
    </w:p>
    <w:p w14:paraId="4534B17B"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To preserve transparency, the code also generates a formal note stating that longitudinal professional learning need analysis requires the client to provide corresponding need mappings for Years 1 to 3. A template function was included so that, if those mappings become available later, the same scoring and trend-analysis workflow can be extended to the need domains.</w:t>
      </w:r>
    </w:p>
    <w:p w14:paraId="1189A808"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Several limitations should be stated clearly. First, the implementation trends across years are based on repeated cross-sectional samples, not confirmed within-person follow-up data. Therefore, differences across years should be interpreted as differences in the average respondent profile across project years rather than direct change within the same teachers. Second, the item composition of the domains is not identical across all years, particularly between Year 1 and later years. This means the longitudinal comparisons are best understood as trend context rather than strict measurement-invariant longitudinal inference. Third, the current inability to analyze professional learning need longitudinally is not a statistical weakness of the code, but a documentation limitation: the necessary mappings for Years 1 to 3 are not yet available in the appendix.</w:t>
      </w:r>
    </w:p>
    <w:p w14:paraId="41290C14" w14:textId="3754B8D8"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In summary, Section 4 provides a defensible longitudinal context for the implementation results and a cautious, transparent statement of what can currently be said about professional learning need over time. It shows whether Year 4 aligns with earlier project-year patterns while also documenting the limits of the available item mappings.</w:t>
      </w:r>
    </w:p>
    <w:p w14:paraId="5EC1394D"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lastRenderedPageBreak/>
        <w:t>CLIENT CLARIFICATIONS STILL NEEDED FOR SECTION 4</w:t>
      </w:r>
    </w:p>
    <w:p w14:paraId="35C0173D"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Before finalizing Section 4, several points should be confirmed with the client.</w:t>
      </w:r>
    </w:p>
    <w:p w14:paraId="254857F4"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The most important question is whether professional learning need items were collected in Years 1, 2, and 3. If they were, the client should provide the corresponding item mappings by domain. Without these mappings, Question 9 cannot be answered longitudinally in a defensible way.</w:t>
      </w:r>
    </w:p>
    <w:p w14:paraId="6362E87B"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The client should also clarify whether the yearly samples are independent cross-sectional respondent groups or whether there is an anonymous identifier linking the same respondents across multiple years. This matters because the interpretation changes substantially depending on whether the analysis represents repeated cross-sections or true longitudinal follow-up.</w:t>
      </w:r>
    </w:p>
    <w:p w14:paraId="647DA367"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It would also be helpful to confirm whether the client expects strict comparability across Years 1 to 4. Because the item sets differ somewhat between Year 1 and later years, especially in the implementation domains, the current analysis treats these as trend comparisons rather than fully harmonized longitudinal measurements. If stricter comparability is expected, the client may need to approve a common-item harmonization strategy.</w:t>
      </w:r>
    </w:p>
    <w:p w14:paraId="42F295C3"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The client should confirm whether any major policy, training, or implementation changes occurred between survey years that should be acknowledged when interpreting trends. Such contextual information can help explain why some domains may rise, remain stable, or fall over time.</w:t>
      </w:r>
    </w:p>
    <w:p w14:paraId="6F683088" w14:textId="77777777" w:rsidR="009A1EAD" w:rsidRPr="009A1EAD" w:rsidRDefault="009A1EAD" w:rsidP="009A1EAD">
      <w:pPr>
        <w:spacing w:before="100" w:beforeAutospacing="1" w:after="100" w:afterAutospacing="1" w:line="240" w:lineRule="auto"/>
        <w:rPr>
          <w:rFonts w:ascii="Times New Roman" w:eastAsia="Times New Roman" w:hAnsi="Times New Roman" w:cs="Times New Roman"/>
          <w:kern w:val="0"/>
          <w14:ligatures w14:val="none"/>
        </w:rPr>
      </w:pPr>
      <w:r w:rsidRPr="009A1EAD">
        <w:rPr>
          <w:rFonts w:ascii="Times New Roman" w:eastAsia="Times New Roman" w:hAnsi="Times New Roman" w:cs="Times New Roman"/>
          <w:kern w:val="0"/>
          <w14:ligatures w14:val="none"/>
        </w:rPr>
        <w:t>Finally, the client should confirm whether weighted analysis is required for year-to-year comparisons. The current implementation treats the data as unweighted respondent samples. If survey design weights exist and are intended to support broader generalization, the longitudinal trend analysis may need to be updated.</w:t>
      </w:r>
    </w:p>
    <w:p w14:paraId="2948A52B" w14:textId="707FCE33" w:rsidR="009A1EAD" w:rsidRDefault="009A1EAD"/>
    <w:sectPr w:rsidR="009A1E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EAD"/>
    <w:rsid w:val="00084EE7"/>
    <w:rsid w:val="002215CA"/>
    <w:rsid w:val="003070A0"/>
    <w:rsid w:val="006C1FCB"/>
    <w:rsid w:val="009A1EAD"/>
    <w:rsid w:val="00BD03A4"/>
    <w:rsid w:val="00D60D38"/>
    <w:rsid w:val="00EC797A"/>
    <w:rsid w:val="00F85A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89BC3"/>
  <w15:chartTrackingRefBased/>
  <w15:docId w15:val="{711720EA-5D56-B54D-A4E2-AE24D24BA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1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1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EAD"/>
    <w:rPr>
      <w:rFonts w:eastAsiaTheme="majorEastAsia" w:cstheme="majorBidi"/>
      <w:color w:val="272727" w:themeColor="text1" w:themeTint="D8"/>
    </w:rPr>
  </w:style>
  <w:style w:type="paragraph" w:styleId="Title">
    <w:name w:val="Title"/>
    <w:basedOn w:val="Normal"/>
    <w:next w:val="Normal"/>
    <w:link w:val="TitleChar"/>
    <w:uiPriority w:val="10"/>
    <w:qFormat/>
    <w:rsid w:val="009A1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EAD"/>
    <w:pPr>
      <w:spacing w:before="160"/>
      <w:jc w:val="center"/>
    </w:pPr>
    <w:rPr>
      <w:i/>
      <w:iCs/>
      <w:color w:val="404040" w:themeColor="text1" w:themeTint="BF"/>
    </w:rPr>
  </w:style>
  <w:style w:type="character" w:customStyle="1" w:styleId="QuoteChar">
    <w:name w:val="Quote Char"/>
    <w:basedOn w:val="DefaultParagraphFont"/>
    <w:link w:val="Quote"/>
    <w:uiPriority w:val="29"/>
    <w:rsid w:val="009A1EAD"/>
    <w:rPr>
      <w:i/>
      <w:iCs/>
      <w:color w:val="404040" w:themeColor="text1" w:themeTint="BF"/>
    </w:rPr>
  </w:style>
  <w:style w:type="paragraph" w:styleId="ListParagraph">
    <w:name w:val="List Paragraph"/>
    <w:basedOn w:val="Normal"/>
    <w:uiPriority w:val="34"/>
    <w:qFormat/>
    <w:rsid w:val="009A1EAD"/>
    <w:pPr>
      <w:ind w:left="720"/>
      <w:contextualSpacing/>
    </w:pPr>
  </w:style>
  <w:style w:type="character" w:styleId="IntenseEmphasis">
    <w:name w:val="Intense Emphasis"/>
    <w:basedOn w:val="DefaultParagraphFont"/>
    <w:uiPriority w:val="21"/>
    <w:qFormat/>
    <w:rsid w:val="009A1EAD"/>
    <w:rPr>
      <w:i/>
      <w:iCs/>
      <w:color w:val="0F4761" w:themeColor="accent1" w:themeShade="BF"/>
    </w:rPr>
  </w:style>
  <w:style w:type="paragraph" w:styleId="IntenseQuote">
    <w:name w:val="Intense Quote"/>
    <w:basedOn w:val="Normal"/>
    <w:next w:val="Normal"/>
    <w:link w:val="IntenseQuoteChar"/>
    <w:uiPriority w:val="30"/>
    <w:qFormat/>
    <w:rsid w:val="009A1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EAD"/>
    <w:rPr>
      <w:i/>
      <w:iCs/>
      <w:color w:val="0F4761" w:themeColor="accent1" w:themeShade="BF"/>
    </w:rPr>
  </w:style>
  <w:style w:type="character" w:styleId="IntenseReference">
    <w:name w:val="Intense Reference"/>
    <w:basedOn w:val="DefaultParagraphFont"/>
    <w:uiPriority w:val="32"/>
    <w:qFormat/>
    <w:rsid w:val="009A1EAD"/>
    <w:rPr>
      <w:b/>
      <w:bCs/>
      <w:smallCaps/>
      <w:color w:val="0F4761" w:themeColor="accent1" w:themeShade="BF"/>
      <w:spacing w:val="5"/>
    </w:rPr>
  </w:style>
  <w:style w:type="paragraph" w:styleId="NormalWeb">
    <w:name w:val="Normal (Web)"/>
    <w:basedOn w:val="Normal"/>
    <w:uiPriority w:val="99"/>
    <w:unhideWhenUsed/>
    <w:rsid w:val="009A1E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1EAD"/>
    <w:rPr>
      <w:b/>
      <w:bCs/>
    </w:rPr>
  </w:style>
  <w:style w:type="character" w:styleId="HTMLCode">
    <w:name w:val="HTML Code"/>
    <w:basedOn w:val="DefaultParagraphFont"/>
    <w:uiPriority w:val="99"/>
    <w:semiHidden/>
    <w:unhideWhenUsed/>
    <w:rsid w:val="009A1E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18</Pages>
  <Words>7803</Words>
  <Characters>44479</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Ghislain Kemogne Kamdoum</dc:creator>
  <cp:keywords/>
  <dc:description/>
  <cp:lastModifiedBy>Ariel Ghislain Kemogne Kamdoum</cp:lastModifiedBy>
  <cp:revision>2</cp:revision>
  <dcterms:created xsi:type="dcterms:W3CDTF">2026-03-07T20:12:00Z</dcterms:created>
  <dcterms:modified xsi:type="dcterms:W3CDTF">2026-03-08T00:13:00Z</dcterms:modified>
</cp:coreProperties>
</file>