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agent有限公司</w:t>
        <w:br/>
        <w:t>差旅费报销管理制度</w:t>
      </w:r>
    </w:p>
    <w:p>
      <w:pPr>
        <w:widowControl/>
        <w:snapToGrid w:val="0"/>
      </w:pPr>
      <w:r>
        <w:t>模拟制度修订版 V1.1  |  修订日期及测试生效日期：2026年09月07日</w:t>
      </w:r>
    </w:p>
    <w:p>
      <w:pPr>
        <w:widowControl/>
        <w:snapToGrid w:val="0"/>
      </w:pPr>
      <w:r>
        <w:t>用途：企业差旅助手功能测试。本文不是实际公司的正式规章，不作为真实报销、审批或劳动处分依据。</w:t>
      </w:r>
    </w:p>
    <w:p>
      <w:pPr>
        <w:widowControl/>
        <w:snapToGrid w:val="0"/>
      </w:pPr>
      <w:r>
        <w:t>适用对象：模拟公司全体在职员工。基本原则：事前审批、分级标准、限额实报、补贴不重复、异常人工审核。金额均为人民币。</w:t>
      </w:r>
    </w:p>
    <w:p>
      <w:pPr>
        <w:pStyle w:val="Heading1"/>
        <w:pageBreakBefore w:val="0"/>
        <w:snapToGrid w:val="0"/>
      </w:pPr>
      <w:r>
        <w:t>第一章 总则</w:t>
      </w:r>
    </w:p>
    <w:p>
      <w:pPr>
        <w:widowControl/>
        <w:snapToGrid w:val="0"/>
      </w:pPr>
      <w:r>
        <w:t>1.1 本制度适用于中国大陆境内的异地因公出差，包括客户拜访、培训、会议、巡检及短期项目驻场。日常工作城市内的外勤不适用；港澳台及境外出差另行审批，不套用本制度金额。</w:t>
      </w:r>
    </w:p>
    <w:p>
      <w:pPr>
        <w:widowControl/>
        <w:snapToGrid w:val="0"/>
      </w:pPr>
      <w:r>
        <w:t>1.2 差旅费包括城市间交通费、住宿费、伙食补助费和市内交通补贴。业务招待、礼品、娱乐、罚款及个人消费不属于差旅费。</w:t>
      </w:r>
    </w:p>
    <w:p>
      <w:pPr>
        <w:widowControl/>
        <w:snapToGrid w:val="0"/>
      </w:pPr>
      <w:r>
        <w:t>1.3 出差天数按北京时间计算，自公务出发日至公务返回日首尾均计入自然日；工作日按公司公布的工作日历计算。期限从返回次日起算。自然日补贴只在第五、六章规定的条件下计发。</w:t>
      </w:r>
    </w:p>
    <w:p>
      <w:pPr>
        <w:widowControl/>
        <w:snapToGrid w:val="0"/>
      </w:pPr>
      <w:r>
        <w:t>1.4 职级以审批单确认的出差时职级为准；岗位名称无法映射时由人事确认，不由员工或助手自行提升标准。审批、价格核验和财务报销是独立环节，查询结果不等于已获批准。</w:t>
      </w:r>
    </w:p>
    <w:p>
      <w:pPr>
        <w:pStyle w:val="Heading1"/>
        <w:pageBreakBefore w:val="0"/>
        <w:snapToGrid w:val="0"/>
      </w:pPr>
      <w:r>
        <w:t>第二章 出差审批流程</w:t>
      </w:r>
    </w:p>
    <w:p>
      <w:pPr>
        <w:widowControl/>
        <w:snapToGrid w:val="0"/>
      </w:pPr>
      <w:r>
        <w:t>2.1 常规出差：同时满足省内且不超过3个自然日，由员工发起、部门负责人审批、财务备案。跨省或超过3个自然日，任一满足即增加分管领导审批；连续30日及以上驻场按第八章处理。</w:t>
      </w:r>
    </w:p>
    <w:p>
      <w:pPr>
        <w:widowControl/>
        <w:snapToGrid w:val="0"/>
      </w:pPr>
      <w:r>
        <w:t>2.2 副总经理出差由总经理审批；总经理出差由公司指定的非本人授权审批人审批，不得自行审批。审批人缺位时转行政确认授权，不自动跳过。</w:t>
      </w:r>
    </w:p>
    <w:p>
      <w:pPr>
        <w:widowControl/>
        <w:snapToGrid w:val="0"/>
      </w:pPr>
      <w:r>
        <w:t>2.3 审批单应记录人员职级、目的地、日期、事由、交通方式、预算及食宿安排。目的地、日期、交通等级或预算发生实质变化，应在新增支出前完成变更审批。</w:t>
      </w:r>
    </w:p>
    <w:p>
      <w:pPr>
        <w:widowControl/>
        <w:snapToGrid w:val="0"/>
      </w:pPr>
      <w:r>
        <w:t>2.4 紧急出差可先通过可留痕方式报备有权审批人，返回后3个工作日内补齐系统审批；超期或事前无法报备的，由部门负责人说明原因并交财务人工审核，不由系统直接拒报。</w:t>
      </w:r>
    </w:p>
    <w:p>
      <w:pPr>
        <w:widowControl/>
        <w:snapToGrid w:val="0"/>
      </w:pPr>
      <w:r>
        <w:t>2.5 可申请差旅借款，报销时冲抵，多退少补；应在返回后10个工作日内提交完整报销及借款核销材料。提交时限不等于财务付款完成时限。</w:t>
      </w:r>
    </w:p>
    <w:p>
      <w:pPr>
        <w:pStyle w:val="Heading1"/>
        <w:pageBreakBefore/>
        <w:snapToGrid w:val="0"/>
      </w:pPr>
      <w:r>
        <w:t>第三章 城市间交通费标准</w:t>
      </w:r>
    </w:p>
    <w:p>
      <w:pPr>
        <w:widowControl/>
        <w:snapToGrid w:val="0"/>
      </w:pPr>
      <w:r>
        <w:t>3.1 有满足公务时间要求的直达高铁或动车时，以其公布的单程车上运行时间判断：不超过6小时优先铁路，超过6小时可选择飞机。无合适直达车、售罄或会议时间冲突时，应说明原因并由该次出差最终审批人批准。该规则是选择优先级，不是对机票的绝对禁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24"/>
        <w:gridCol w:w="2098"/>
        <w:gridCol w:w="2835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岗位层级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高铁或动车上限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普速火车上限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飞机上限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总经理或副总经理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一等座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软卧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经济舱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部门经理或主管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二等座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硬卧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经济舱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普通员工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二等座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硬卧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经济舱，须明确批准</w:t>
            </w:r>
          </w:p>
        </w:tc>
      </w:tr>
    </w:tbl>
    <w:p>
      <w:pPr>
        <w:widowControl/>
        <w:spacing w:before="0" w:after="80" w:line="20" w:lineRule="exact"/>
        <w:snapToGrid w:val="0"/>
      </w:pPr>
      <w:r>
        <w:rPr>
          <w:sz w:val="2"/>
        </w:rPr>
      </w:r>
    </w:p>
    <w:p>
      <w:pPr>
        <w:widowControl/>
        <w:snapToGrid w:val="0"/>
      </w:pPr>
      <w:r>
        <w:t>3.2 表中等级为上限，可选择较低等级。普通员工乘机须由该次出差最终审批人在审批单中明确批准；高管申请公务舱或任何人员申请超表列等级，须总经理专项审批，总经理本人按2.2办理。</w:t>
      </w:r>
    </w:p>
    <w:p>
      <w:pPr>
        <w:widowControl/>
        <w:snapToGrid w:val="0"/>
      </w:pPr>
      <w:r>
        <w:t>3.3 交通费不设统一票价金额上限。在批准的方式、等级和行程内合理选择票价，并比较时刻、含税总额及退改条件；超出已批预算须变更审批，不得仅因价格便宜认定合规。</w:t>
      </w:r>
    </w:p>
    <w:p>
      <w:pPr>
        <w:widowControl/>
        <w:snapToGrid w:val="0"/>
      </w:pPr>
      <w:r>
        <w:t>3.4 机票费用包括票价、燃油附加费、民航发展基金及每人每航段至多1份自愿购买的交通意外险；已有覆盖同航段的公司保险时不重复报销。行李等附加服务因公务需要发生的，应事先说明并获批。</w:t>
      </w:r>
    </w:p>
    <w:p>
      <w:pPr>
        <w:widowControl/>
        <w:snapToGrid w:val="0"/>
      </w:pPr>
      <w:r>
        <w:t>3.5 因公务调整、航班取消等合理原因产生的退改费，应附事由和凭证，经该次出差最终审批人确认后审核；个人改期、绕道产生的增量费用自行承担。退款应冲减原报销金额。</w:t>
      </w:r>
    </w:p>
    <w:p>
      <w:pPr>
        <w:widowControl/>
        <w:snapToGrid w:val="0"/>
      </w:pPr>
      <w:r>
        <w:t>3.6 自驾须事前批准，按核实的公务路线报销通行费及可归属于本次公务的实际燃油费，附路线、里程及凭证；混合个人用车且无法合理分摊时转人工审核，不自动报销整张油票。同一行程不得重复报销公共交通费。</w:t>
      </w:r>
    </w:p>
    <w:p>
      <w:pPr>
        <w:widowControl/>
        <w:snapToGrid w:val="0"/>
      </w:pPr>
      <w:r>
        <w:t>3.7 机场和车站接驳的公交、地铁、出租车费用归入市内交通包干，不计入城际交通。同一笔费用不得在两个科目重复申请。</w:t>
      </w:r>
    </w:p>
    <w:p>
      <w:pPr>
        <w:pStyle w:val="Heading1"/>
        <w:pageBreakBefore/>
        <w:snapToGrid w:val="0"/>
      </w:pPr>
      <w:r>
        <w:t>第四章 住宿费报销标准</w:t>
      </w:r>
    </w:p>
    <w:p>
      <w:pPr>
        <w:widowControl/>
        <w:snapToGrid w:val="0"/>
      </w:pPr>
      <w:r>
        <w:t>4.1 以下为公司自定义城市等级，不代表社会通用城市排名。以实际住宿所在地的地级及以上行政区归类，所辖区县随所属城市；名单无法匹配时由行政确认。按A类、B类、C类依次匹配，前者优先。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617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等级</w:t>
            </w:r>
          </w:p>
        </w:tc>
        <w:tc>
          <w:tcPr>
            <w:tcW w:type="dxa" w:w="8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适用城市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A类</w:t>
            </w:r>
          </w:p>
        </w:tc>
        <w:tc>
          <w:tcPr>
            <w:tcW w:type="dxa" w:w="8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北京、上海、广州、深圳、杭州、南京、苏州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B类</w:t>
            </w:r>
          </w:p>
        </w:tc>
        <w:tc>
          <w:tcPr>
            <w:tcW w:type="dxa" w:w="8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天津、重庆、石家庄、太原、呼和浩特、沈阳、长春、哈尔滨、合肥、福州、南昌、济南、郑州、武汉、长沙、南宁、海口、成都、贵阳、昆明、拉萨、西安、兰州、西宁、银川、乌鲁木齐、大连、青岛、宁波、厦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C类</w:t>
            </w:r>
          </w:p>
        </w:tc>
        <w:tc>
          <w:tcPr>
            <w:tcW w:type="dxa" w:w="8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中国大陆境内其余地级及以上城市、地区、自治州、盟及省直辖县级行政区；不含已归入A类或B类城市的所辖区县</w:t>
            </w:r>
          </w:p>
        </w:tc>
      </w:tr>
    </w:tbl>
    <w:p>
      <w:pPr>
        <w:widowControl/>
        <w:spacing w:before="0" w:after="80" w:line="20" w:lineRule="exact"/>
        <w:snapToGrid w:val="0"/>
      </w:pPr>
      <w:r>
        <w:rPr>
          <w:sz w:val="2"/>
        </w:rPr>
      </w:r>
    </w:p>
    <w:p>
      <w:pPr>
        <w:widowControl/>
        <w:snapToGrid w:val="0"/>
      </w:pPr>
      <w:r>
        <w:t>4.2 下表金额为单人入住时的每间每晚含税住宿上限，限额内按实际支出报销，不是定额发放，也不是每人额度可直接叠加。押金及个人消费不计入可报销房费。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岗位层级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A类 元/间/晚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B类 元/间/晚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C类 元/间/晚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总经理或副总经理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650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550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450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部门经理或主管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500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420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330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普通员工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420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340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280</w:t>
            </w:r>
          </w:p>
        </w:tc>
      </w:tr>
    </w:tbl>
    <w:p>
      <w:pPr>
        <w:widowControl/>
        <w:spacing w:before="0" w:after="80" w:line="20" w:lineRule="exact"/>
        <w:snapToGrid w:val="0"/>
      </w:pPr>
      <w:r>
        <w:rPr>
          <w:sz w:val="2"/>
        </w:rPr>
      </w:r>
    </w:p>
    <w:p>
      <w:pPr>
        <w:widowControl/>
        <w:snapToGrid w:val="0"/>
      </w:pPr>
      <w:r>
        <w:t>4.3 单人单间在上述限额内可报销，不强制合住。两名员工经双方同意合住双床房时，每间每晚限额为两人中较高单人标准的1.5倍，不再叠加两人的单人限额；同住名单应留存，不推断员工性别或意愿。</w:t>
      </w:r>
    </w:p>
    <w:p>
      <w:pPr>
        <w:widowControl/>
        <w:snapToGrid w:val="0"/>
      </w:pPr>
      <w:r>
        <w:t>4.4 合住费用原则上由一人统一报销并注明同住人员，另一人不得重复申请；确需分摊时提供同一账单及分摊明细，合计不得超过实际支出及该间房限额。三人及以上共用房间、套房等特殊安排须单独审批。</w:t>
      </w:r>
    </w:p>
    <w:p>
      <w:pPr>
        <w:widowControl/>
        <w:snapToGrid w:val="0"/>
      </w:pPr>
      <w:r>
        <w:t>4.5 按实际住宿夜数逐晚判断，不跨晚平均冲抵。酒店起价、未核实税费或不明计价单位不能认定符合限额，须核实指定入住日期、房型、人数和每晚含税房价。</w:t>
      </w:r>
    </w:p>
    <w:p>
      <w:pPr>
        <w:widowControl/>
        <w:snapToGrid w:val="0"/>
      </w:pPr>
      <w:r>
        <w:t>4.6 实际支付住宿费但缺少有效凭证的，该项暂缓审核并补正，不连带取消伙食或交通补贴。无需住宿、免费住宿、统一付费住宿不要求个人提交住宿费用发票，但应说明安排且不得重复报销。</w:t>
      </w:r>
    </w:p>
    <w:p>
      <w:pPr>
        <w:widowControl/>
        <w:snapToGrid w:val="0"/>
      </w:pPr>
      <w:r>
        <w:t>4.7 会议仅统一订房而由员工付费的，仍按本章审核；主办方或公司已付费的不重复报销。旺季、会展或安全需要确需超标的，按2.2、3.2的专项审批权限办理。</w:t>
      </w:r>
    </w:p>
    <w:p>
      <w:pPr>
        <w:pStyle w:val="Heading1"/>
        <w:pageBreakBefore/>
        <w:snapToGrid w:val="0"/>
      </w:pPr>
      <w:r>
        <w:t>第五章 伙食补助费</w:t>
      </w:r>
    </w:p>
    <w:p>
      <w:pPr>
        <w:widowControl/>
        <w:snapToGrid w:val="0"/>
      </w:pPr>
      <w:r>
        <w:t>5.1 需在外过夜的合规出差，普通地区每日基数为100元/人，新疆、西藏、青海为120元/人。出发日和返回日均按一个自然日基数计；同一自然日多段公务仅计一次，不按出差单重复领取。</w:t>
      </w:r>
    </w:p>
    <w:p>
      <w:pPr>
        <w:widowControl/>
        <w:snapToGrid w:val="0"/>
      </w:pPr>
      <w:r>
        <w:t>5.2 当日往返的异地公务，统一按50元/人/日计算，不论出行时长及地区，不与100元或120元标准叠加。工作城市内的日常外勤不适用。</w:t>
      </w:r>
    </w:p>
    <w:p>
      <w:pPr>
        <w:widowControl/>
        <w:snapToGrid w:val="0"/>
      </w:pPr>
      <w:r>
        <w:t>5.3 跨地区当天以当晚公务住宿所在地确定基数；返回日或夜间在途无住宿时，以当天最后一个公务目的地确定。私人停留地不计入；行程资料不足时人工确认。</w:t>
      </w:r>
    </w:p>
    <w:p>
      <w:pPr>
        <w:widowControl/>
        <w:snapToGrid w:val="0"/>
      </w:pPr>
      <w:r>
        <w:t>5.4 公司、客户、主办方或酒店房费已包含的餐食，以及员工实际参加且由公司报销的业务招待餐，按对应餐次扣减：早餐20%、午餐40%、晚餐40%，以当天基数计算。同一餐只扣一次，未用完金额不结转。</w:t>
      </w:r>
    </w:p>
    <w:p>
      <w:pPr>
        <w:widowControl/>
        <w:snapToGrid w:val="0"/>
      </w:pPr>
      <w:r>
        <w:t>5.5 当天应发伙食补贴＝当天基数×（1－已包餐次比例之和），最低为0元。已包含但个人自愿不食用的餐食仍扣减；无法使用的合理原因可提交人工确认。不得因一餐包餐直接取消全天补贴。</w:t>
      </w:r>
    </w:p>
    <w:p>
      <w:pPr>
        <w:widowControl/>
        <w:snapToGrid w:val="0"/>
      </w:pPr>
      <w:r>
        <w:t>5.6 私人旅游、探亲、擅自延长的非公务日期，以及公务返回次日起留在常驻工作地或居家办公的日期不发补贴；公务返回当日仍按5.1计发。因批准任务必须留在异地的周末或节假日可计发，私人停留不得套用。长期驻场按第八章。</w:t>
      </w:r>
    </w:p>
    <w:p>
      <w:pPr>
        <w:pStyle w:val="Heading1"/>
        <w:pageBreakBefore w:val="0"/>
        <w:snapToGrid w:val="0"/>
      </w:pPr>
      <w:r>
        <w:t>第六章 市内交通费</w:t>
      </w:r>
    </w:p>
    <w:p>
      <w:pPr>
        <w:widowControl/>
        <w:snapToGrid w:val="0"/>
      </w:pPr>
      <w:r>
        <w:t>6.1 合规公务日期按80元/人/日包干，无需交通票据；当日往返异地公务同样适用，不另报机场、车站与办事地之间的打车、地铁及公交。每日最多计发一次。</w:t>
      </w:r>
    </w:p>
    <w:p>
      <w:pPr>
        <w:widowControl/>
        <w:snapToGrid w:val="0"/>
      </w:pPr>
      <w:r>
        <w:t>6.2 公司派车、客户接送或会议班车覆盖当天全部公务市内出行的，停发当天80元补贴；仅覆盖部分路段，且员工仍需自行安排其余公务市内出行的，仍按80元计发，不另报实际车费。应说明覆盖情况。</w:t>
      </w:r>
    </w:p>
    <w:p>
      <w:pPr>
        <w:widowControl/>
        <w:snapToGrid w:val="0"/>
      </w:pPr>
      <w:r>
        <w:t>6.3 自驾已经报销当天全部公务市内出行的燃油、通行费用时，不再领取当日交通补贴。仅报销城际路段且另有自费市内公共交通的，可按6.1领取，但不得重复报销市内油费。</w:t>
      </w:r>
    </w:p>
    <w:p>
      <w:pPr>
        <w:widowControl/>
        <w:snapToGrid w:val="0"/>
      </w:pPr>
      <w:r>
        <w:t>6.4 当天无公务市内出行且无车站机场接驳需求的，不发市内交通补贴。公务留驻休息日是否计发，取决于当天是否有上述出行，不因自然日计数自动发放。</w:t>
      </w:r>
    </w:p>
    <w:p>
      <w:pPr>
        <w:pStyle w:val="Heading1"/>
        <w:pageBreakBefore/>
        <w:snapToGrid w:val="0"/>
      </w:pPr>
      <w:r>
        <w:t>第七章 报销规范与审核</w:t>
      </w:r>
    </w:p>
    <w:p>
      <w:pPr>
        <w:widowControl/>
        <w:snapToGrid w:val="0"/>
      </w:pPr>
      <w:r>
        <w:t>7.1 员工应在返回后10个工作日内提交完整报销材料；无法按时取得凭证的，期限内提交说明及已有材料申请延期。超期记录原因并人工复核，不因超期自动否定已核实的公务费用。</w:t>
      </w:r>
    </w:p>
    <w:p>
      <w:pPr>
        <w:widowControl/>
        <w:snapToGrid w:val="0"/>
      </w:pPr>
      <w:r>
        <w:t>7.2 必备材料按实际发生事项提供：出差审批及变更记录、行程凭证、所申请费用对应票据、支付及退款记录；会议或培训有通知的同时提供。未申请住宿费的不强制提供住宿费用发票。</w:t>
      </w:r>
    </w:p>
    <w:p>
      <w:pPr>
        <w:widowControl/>
        <w:snapToGrid w:val="0"/>
      </w:pPr>
      <w:r>
        <w:t>7.3 对可按企业信息开具的发票，应核对公司名称和税号；实名旅客运输凭证等不适用统一公司抬头格式的资料，由财务按相应凭证要求核验。不得仅因显示员工姓名直接拒收。</w:t>
      </w:r>
    </w:p>
    <w:p>
      <w:pPr>
        <w:widowControl/>
        <w:snapToGrid w:val="0"/>
      </w:pPr>
      <w:r>
        <w:t>7.4 凭证须真实、可核验且与人员、日期、地点及支出一致。财务核查重复报销及退款；信息有误先退回补正，无法核实的对应费用暂缓处理，不自动驳回无关联且已核实的费用。</w:t>
      </w:r>
    </w:p>
    <w:p>
      <w:pPr>
        <w:widowControl/>
        <w:snapToGrid w:val="0"/>
      </w:pPr>
      <w:r>
        <w:t>7.5 公私混合行程应拆分说明。仅审核可核实的公务部分；因私人绕道、延住或升级产生的增量费用个人承担。无法合理分摊时交财务确认，不由系统估算后直接支付。</w:t>
      </w:r>
    </w:p>
    <w:p>
      <w:pPr>
        <w:widowControl/>
        <w:snapToGrid w:val="0"/>
      </w:pPr>
      <w:r>
        <w:t>7.6 住宿费用、伙食补贴和交通补贴分别审核，包干补贴无需虚构或拼凑票据。审批单、规则核对结果和报价记录均不能替代最终费用凭证。</w:t>
      </w:r>
    </w:p>
    <w:p>
      <w:pPr>
        <w:pStyle w:val="Heading1"/>
        <w:pageBreakBefore w:val="0"/>
        <w:snapToGrid w:val="0"/>
      </w:pPr>
      <w:r>
        <w:t>第八章 特殊出差场景</w:t>
      </w:r>
    </w:p>
    <w:p>
      <w:pPr>
        <w:widowControl/>
        <w:snapToGrid w:val="0"/>
      </w:pPr>
      <w:r>
        <w:t>8.1 同一项目、同一驻场地连续安排30个自然日及以上，认定为长期驻场，包括第30日。整个该段驻场应执行单独批准的驻场方案，不同时叠加本制度住宿及补贴。</w:t>
      </w:r>
    </w:p>
    <w:p>
      <w:pPr>
        <w:widowControl/>
        <w:snapToGrid w:val="0"/>
      </w:pPr>
      <w:r>
        <w:t>8.2 驻场方案至少明确适用期间、住宿、伙食、市内交通及往返交通口径，由部门负责人、分管领导及财务审核，报总经理批准。方案缺失时转人工处理，不自动套用短期标准；不得拆分审批单规避30日门槛。</w:t>
      </w:r>
    </w:p>
    <w:p>
      <w:pPr>
        <w:widowControl/>
        <w:snapToGrid w:val="0"/>
      </w:pPr>
      <w:r>
        <w:t>8.3 原批准短期出差后延长达到30日的，应在确认延长时办理变更，方案明确覆盖期间及已发金额抵扣方式，避免重复发放；系统不得自行追溯扣款。</w:t>
      </w:r>
    </w:p>
    <w:p>
      <w:pPr>
        <w:widowControl/>
        <w:snapToGrid w:val="0"/>
      </w:pPr>
      <w:r>
        <w:t>8.4 培训或会议包住宿的，不重复报销住宿；包餐按第五章逐餐扣减；市内交通独立按第六章判断。仅统一安排但费用由员工支付的，不视为免费包食宿。</w:t>
      </w:r>
    </w:p>
    <w:p>
      <w:pPr>
        <w:widowControl/>
        <w:snapToGrid w:val="0"/>
      </w:pPr>
      <w:r>
        <w:t>8.5 当日往返不产生住宿报销，伙食基数为50元，市内交通按第六章审核。节假日公务适用同一标准，加班等事项不在本制度中作自动认定。</w:t>
      </w:r>
    </w:p>
    <w:p>
      <w:pPr>
        <w:pStyle w:val="Heading1"/>
        <w:pageBreakBefore/>
        <w:snapToGrid w:val="0"/>
      </w:pPr>
      <w:r>
        <w:t>第九章 异常处理与复核</w:t>
      </w:r>
    </w:p>
    <w:p>
      <w:pPr>
        <w:widowControl/>
        <w:snapToGrid w:val="0"/>
      </w:pPr>
      <w:r>
        <w:t>9.1 缺少审批、超标、票据存疑或行程不符，分别标记为待补正、待特批或待核实，向员工说明具体项目及原因。员工可提交补充材料申请财务与有权审批人复核。</w:t>
      </w:r>
    </w:p>
    <w:p>
      <w:pPr>
        <w:widowControl/>
        <w:snapToGrid w:val="0"/>
      </w:pPr>
      <w:r>
        <w:t>9.2 未获特批的个人升级或超标准消费，原则上只审核标准内且可核实的公务支出，超出部分个人承担；不得仅凭单项超标取消其他符合条件的费用或补贴。</w:t>
      </w:r>
    </w:p>
    <w:p>
      <w:pPr>
        <w:widowControl/>
        <w:snapToGrid w:val="0"/>
      </w:pPr>
      <w:r>
        <w:t>9.3 涉嫌虚报、伪造票据或重复报销的，由财务留存证据并组织人工核实。核实后的重复或不实款项按确认结果处理；绩效、纪律及劳动关系事项另按适用制度和程序处理，本制度不自动决定罚款、扣薪或解除劳动关系。</w:t>
      </w:r>
    </w:p>
    <w:p>
      <w:pPr>
        <w:pStyle w:val="Heading1"/>
        <w:pageBreakBefore w:val="0"/>
        <w:snapToGrid w:val="0"/>
      </w:pPr>
      <w:r>
        <w:t>第十章 版本与执行边界</w:t>
      </w:r>
    </w:p>
    <w:p>
      <w:pPr>
        <w:widowControl/>
        <w:snapToGrid w:val="0"/>
      </w:pPr>
      <w:r>
        <w:t>10.1 本文版本为V1.1，测试生效日期为2026年09月07日；替代原2026年09月01日版本在该日期及之后的模拟场景。未设置到期日，后续以明确发布的新版本替代；不得推定每年自动失效。</w:t>
      </w:r>
    </w:p>
    <w:p>
      <w:pPr>
        <w:widowControl/>
        <w:snapToGrid w:val="0"/>
      </w:pPr>
      <w:r>
        <w:t>10.2 跨版本出差按费用发生日或补贴所属日匹配规则，版本资料缺失时人工确认，不由助手自行补造规则。行政与财务负责维护版本、城市和职级映射及解释记录。</w:t>
      </w:r>
    </w:p>
    <w:p>
      <w:pPr>
        <w:widowControl/>
        <w:snapToGrid w:val="0"/>
      </w:pPr>
      <w:r>
        <w:t>10.3 优先顺序为适用且有效的专项审批或驻场方案、适用特殊场景条款、一般条款。专项审批须明确人员、事项、期限和额度，只覆盖批准范围，不构成普遍提高标准。</w:t>
      </w:r>
    </w:p>
    <w:p>
      <w:pPr>
        <w:widowControl/>
        <w:snapToGrid w:val="0"/>
      </w:pPr>
      <w:r>
        <w:t>10.4 差旅助手可引用条款、提示缺失信息及计算明确规则，不得替代人工审批、票据核验、预订确认或支付。未知职级、包餐情况、房价口径及特批状态，应询问或标记待确认，不默认合规。</w:t>
      </w:r>
    </w:p>
    <w:p>
      <w:pPr>
        <w:pStyle w:val="Heading1"/>
        <w:pageBreakBefore w:val="0"/>
        <w:snapToGrid w:val="0"/>
      </w:pPr>
      <w:r>
        <w:t>附录 规则核对示例</w:t>
      </w:r>
    </w:p>
    <w:p>
      <w:pPr>
        <w:widowControl/>
        <w:snapToGrid w:val="0"/>
      </w:pPr>
      <w:r>
        <w:t>例1：普通员工在上海单住2晚，每晚含税400元，上限420元/间/晚；住宿金额合计800元在限额内。若只有酒店起价，则仍不能作出金额符合限额的结论。</w:t>
      </w:r>
    </w:p>
    <w:p>
      <w:pPr>
        <w:widowControl/>
        <w:snapToGrid w:val="0"/>
      </w:pPr>
      <w:r>
        <w:t>例2：主管与普通员工在上海自愿合住，单间每晚限额为500×1.5＝750元。实际房费700元可作为限额内金额候选，但两人报销合计不得超过700元。</w:t>
      </w:r>
    </w:p>
    <w:p>
      <w:pPr>
        <w:widowControl/>
        <w:snapToGrid w:val="0"/>
      </w:pPr>
      <w:r>
        <w:t>例3：普通地区过夜出差一天，酒店包早餐、客户包午餐，伙食补贴为100×（1－20%－40%）＝40元。异地当日往返且包午餐，补贴为50×60%＝30元。</w:t>
      </w:r>
    </w:p>
    <w:p>
      <w:pPr>
        <w:widowControl/>
        <w:snapToGrid w:val="0"/>
      </w:pPr>
      <w:r>
        <w:t>例4：省内3天适用部门负责人审批；跨省2天增加分管领导审批。驻场恰好30天应转驻场方案，不能按短期标准自动计算。示例均不代表已获报销批准。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模拟制度 V1.1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9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9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93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agent有限公司差旅费报销管理制度</dc:title>
  <dc:subject>模拟制度修订版 V1.1</dc:subject>
  <dc:creator>agent有限公司</dc:creator>
  <cp:keywords>模拟测试,差旅,报销,政策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