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 w:eastAsia="黑体"/>
          <w:b/>
          <w:color w:val="1F4E79"/>
          <w:sz w:val="52"/>
        </w:rPr>
        <w:t>MVP 技术选型提案</w:t>
      </w:r>
    </w:p>
    <w:p>
      <w:pPr>
        <w:spacing w:before="200"/>
        <w:jc w:val="center"/>
      </w:pPr>
      <w:r>
        <w:rPr>
          <w:rFonts w:ascii="Calibri" w:hAnsi="Calibri" w:eastAsia="宋体"/>
          <w:sz w:val="28"/>
        </w:rPr>
        <w:t>AI 实时教练：面向 HSC 定性科目的教育 AI</w:t>
      </w:r>
    </w:p>
    <w:p/>
    <w:p/>
    <w:p/>
    <w:p>
      <w:pPr>
        <w:jc w:val="center"/>
      </w:pPr>
      <w:r>
        <w:rPr>
          <w:rFonts w:ascii="Calibri" w:hAnsi="Calibri" w:eastAsia="宋体"/>
          <w:sz w:val="24"/>
        </w:rPr>
        <w:t>团队：iSoft AI Innovation</w:t>
      </w:r>
    </w:p>
    <w:p>
      <w:pPr>
        <w:jc w:val="center"/>
      </w:pPr>
      <w:r>
        <w:rPr>
          <w:rFonts w:ascii="Calibri" w:hAnsi="Calibri" w:eastAsia="宋体"/>
          <w:sz w:val="24"/>
        </w:rPr>
        <w:t>编写：高兴（新成员）</w:t>
      </w:r>
    </w:p>
    <w:p>
      <w:pPr>
        <w:jc w:val="center"/>
      </w:pPr>
      <w:r>
        <w:rPr>
          <w:rFonts w:ascii="Calibri" w:hAnsi="Calibri" w:eastAsia="宋体"/>
          <w:sz w:val="24"/>
        </w:rPr>
        <w:t>2026年8月26日</w:t>
      </w:r>
    </w:p>
    <w:p>
      <w:pPr>
        <w:jc w:val="center"/>
      </w:pPr>
      <w:r>
        <w:rPr>
          <w:rFonts w:ascii="Calibri" w:hAnsi="Calibri" w:eastAsia="宋体"/>
          <w:sz w:val="24"/>
        </w:rPr>
        <w:t>版本 0.1</w:t>
      </w:r>
    </w:p>
    <w:p>
      <w:r>
        <w:br w:type="page"/>
      </w:r>
    </w:p>
    <w:p>
      <w:pPr>
        <w:spacing w:before="360" w:after="160"/>
      </w:pPr>
      <w:r>
        <w:rPr>
          <w:rFonts w:ascii="黑体" w:hAnsi="黑体" w:eastAsia="黑体"/>
          <w:b/>
          <w:color w:val="1F4E79"/>
          <w:sz w:val="32"/>
        </w:rPr>
        <w:t>一、核心摘要</w:t>
      </w:r>
    </w:p>
    <w:p>
      <w:pPr>
        <w:spacing w:line="360" w:lineRule="auto" w:after="120"/>
      </w:pPr>
      <w:r>
        <w:rPr>
          <w:rFonts w:ascii="宋体" w:hAnsi="宋体" w:eastAsia="宋体"/>
          <w:sz w:val="21"/>
        </w:rPr>
        <w:t>本提案定义我们想法的最小可行版本：一个 AI 教练，按 NESA 官方评分标准批改 HSC 简答题，返回分数、置信度和个性化反馈，老师负责复核 AI 的批改。目标约 2 周内做出可演示的 MVP。</w:t>
      </w:r>
    </w:p>
    <w:p>
      <w:pPr>
        <w:spacing w:before="360" w:after="160"/>
      </w:pPr>
      <w:r>
        <w:rPr>
          <w:rFonts w:ascii="黑体" w:hAnsi="黑体" w:eastAsia="黑体"/>
          <w:b/>
          <w:color w:val="1F4E79"/>
          <w:sz w:val="32"/>
        </w:rPr>
        <w:t>二、MVP 范围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2.1 范围内（仅管线 1，单一科目）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84"/>
            <w:shd w:fill="1F4E7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087"/>
            <w:shd w:fill="1F4E7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科目</w:t>
            </w:r>
          </w:p>
        </w:tc>
        <w:tc>
          <w:tcPr>
            <w:tcW w:type="dxa" w:w="7087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一个 HSC 定性科目（候选：Enterprise Computing，有公开真题和官方评分标准）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题目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5-10 道真实真题简答题 + 官方 NESA 评分标准</w:t>
            </w:r>
          </w:p>
        </w:tc>
      </w:tr>
      <w:tr>
        <w:tc>
          <w:tcPr>
            <w:tcW w:type="dxa" w:w="1984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学生流程</w:t>
            </w:r>
          </w:p>
        </w:tc>
        <w:tc>
          <w:tcPr>
            <w:tcW w:type="dxa" w:w="7087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输入或粘贴答案 -&gt; 得到：分数/满分、置信度、具体反馈、针对最弱评分项的 1-2 道练习题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老师流程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查看被标记的答案 -&gt; 一键接受/修改/驳回 AI 分数</w:t>
            </w:r>
          </w:p>
        </w:tc>
      </w:tr>
      <w:tr>
        <w:tc>
          <w:tcPr>
            <w:tcW w:type="dxa" w:w="1984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设备</w:t>
            </w:r>
          </w:p>
        </w:tc>
        <w:tc>
          <w:tcPr>
            <w:tcW w:type="dxa" w:w="7087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手机友好网页，手机浏览器即可打开。满足演示用“手机运行”要求，无需原生 App</w:t>
            </w:r>
          </w:p>
        </w:tc>
      </w:tr>
    </w:tbl>
    <w:p/>
    <w:p>
      <w:pPr>
        <w:spacing w:before="240" w:after="120"/>
      </w:pPr>
      <w:r>
        <w:rPr>
          <w:rFonts w:ascii="黑体" w:hAnsi="黑体" w:eastAsia="黑体"/>
          <w:b/>
          <w:sz w:val="28"/>
        </w:rPr>
        <w:t>2.2 范围外（后续阶段）</w:t>
      </w:r>
    </w:p>
    <w:p>
      <w:pPr>
        <w:spacing w:line="360" w:lineRule="auto" w:after="60"/>
        <w:ind w:left="340"/>
      </w:pPr>
      <w:r>
        <w:rPr>
          <w:rFonts w:ascii="宋体" w:hAnsi="宋体" w:eastAsia="宋体"/>
          <w:sz w:val="21"/>
        </w:rPr>
        <w:t>报告生成（管线 2）、教案生成（管线 3）、阅读转写反馈（管线 4）</w:t>
      </w:r>
    </w:p>
    <w:p>
      <w:pPr>
        <w:spacing w:line="360" w:lineRule="auto" w:after="60"/>
        <w:ind w:left="340"/>
      </w:pPr>
      <w:r>
        <w:rPr>
          <w:rFonts w:ascii="宋体" w:hAnsi="宋体" w:eastAsia="宋体"/>
          <w:sz w:val="21"/>
        </w:rPr>
        <w:t>微调、视觉能力、原生 iOS/Android App、多科目支持</w:t>
      </w:r>
    </w:p>
    <w:p>
      <w:pPr>
        <w:spacing w:line="360" w:lineRule="auto" w:after="60"/>
        <w:ind w:left="340"/>
      </w:pPr>
      <w:r>
        <w:rPr>
          <w:rFonts w:ascii="宋体" w:hAnsi="宋体" w:eastAsia="宋体"/>
          <w:sz w:val="21"/>
        </w:rPr>
        <w:t>真实课堂部署。我们只做演示，不做正式上线。</w:t>
      </w:r>
    </w:p>
    <w:p>
      <w:pPr>
        <w:spacing w:before="360" w:after="160"/>
      </w:pPr>
      <w:r>
        <w:rPr>
          <w:rFonts w:ascii="黑体" w:hAnsi="黑体" w:eastAsia="黑体"/>
          <w:b/>
          <w:color w:val="1F4E79"/>
          <w:sz w:val="32"/>
        </w:rPr>
        <w:t>三、技术选型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3.1 模型策略：双轨制（关键决策）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41"/>
            <w:shd w:fill="1F4E7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轨道</w:t>
            </w:r>
          </w:p>
        </w:tc>
        <w:tc>
          <w:tcPr>
            <w:tcW w:type="dxa" w:w="2835"/>
            <w:shd w:fill="1F4E7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288"/>
            <w:shd w:fill="1F4E7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原因</w:t>
            </w:r>
          </w:p>
        </w:tc>
        <w:tc>
          <w:tcPr>
            <w:tcW w:type="dxa" w:w="1361"/>
            <w:shd w:fill="1F4E7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成本</w:t>
            </w:r>
          </w:p>
        </w:tc>
      </w:tr>
      <w:tr>
        <w:tc>
          <w:tcPr>
            <w:tcW w:type="dxa" w:w="2041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 - 云端开源权重 API（现在）</w:t>
            </w:r>
          </w:p>
        </w:tc>
        <w:tc>
          <w:tcPr>
            <w:tcW w:type="dxa" w:w="2835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Qwen3 / DeepSeek / Llama 系列，通过任意 OpenAI 兼容 API 调用</w:t>
            </w:r>
          </w:p>
        </w:tc>
        <w:tc>
          <w:tcPr>
            <w:tcW w:type="dxa" w:w="3288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今天就能获得演示级批改质量。零 GPU、零部署，最快验证“按评分标准批改”可行性</w:t>
            </w:r>
          </w:p>
        </w:tc>
        <w:tc>
          <w:tcPr>
            <w:tcW w:type="dxa" w:w="1361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整个 demo 不到 5 澳元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 - 本地小模型（下一步）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小规模开源模型（Qwen3-4B / Gemma 4 小号 / Llama 3.2 3B，GGUF Q4 量化），Ollama 运行</w:t>
            </w:r>
          </w:p>
        </w:tc>
        <w:tc>
          <w:tcPr>
            <w:tcW w:type="dxa" w:w="328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证明“能跑在手机级设备”的故事。代码不变、提示词不变，只换接口地址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免费</w:t>
            </w:r>
          </w:p>
        </w:tc>
      </w:tr>
    </w:tbl>
    <w:p/>
    <w:p>
      <w:pPr>
        <w:spacing w:line="360" w:lineRule="auto" w:after="120"/>
      </w:pPr>
      <w:r>
        <w:rPr>
          <w:rFonts w:ascii="宋体" w:hAnsi="宋体" w:eastAsia="宋体"/>
          <w:sz w:val="21"/>
        </w:rPr>
        <w:t>为什么双轨：“想法能不能成”（A 轨，本周）和“能不能装进小设备”（B 轨，批改质量确认后）分开验证，互不拖累。Brief 要求的开源权重在任何一轨都满足。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3.2 批改引擎：三遍架构（核心）</w:t>
      </w:r>
    </w:p>
    <w:p>
      <w:pPr>
        <w:spacing w:line="240" w:lineRule="auto" w:before="0" w:after="0"/>
      </w:pPr>
      <w:r>
        <w:rPr>
          <w:rFonts w:ascii="Consolas" w:hAnsi="Consolas"/>
          <w:color w:val="2D2D2D"/>
          <w:sz w:val="17"/>
        </w:rPr>
        <w:t>第一遍 GRADER   -&gt; 评分标准提示词：题目 + NESA 官方评分标准 + 范例答案</w:t>
      </w:r>
    </w:p>
    <w:p>
      <w:pPr>
        <w:spacing w:line="240" w:lineRule="auto" w:before="0" w:after="0"/>
      </w:pPr>
      <w:r>
        <w:rPr>
          <w:rFonts w:ascii="Consolas" w:hAnsi="Consolas"/>
          <w:color w:val="2D2D2D"/>
          <w:sz w:val="17"/>
        </w:rPr>
        <w:t xml:space="preserve">                   -&gt; 分数 + 逐评分档位依据</w:t>
      </w:r>
    </w:p>
    <w:p>
      <w:pPr>
        <w:spacing w:line="240" w:lineRule="auto" w:before="0" w:after="0"/>
      </w:pPr>
      <w:r>
        <w:rPr>
          <w:rFonts w:ascii="Consolas" w:hAnsi="Consolas"/>
          <w:color w:val="2D2D2D"/>
          <w:sz w:val="17"/>
        </w:rPr>
        <w:t>第二遍 VERIFIER -&gt; 独立第二遍批改（换模型，或同模型换温度和随机种子）</w:t>
      </w:r>
    </w:p>
    <w:p>
      <w:pPr>
        <w:spacing w:line="240" w:lineRule="auto" w:before="0" w:after="0"/>
      </w:pPr>
      <w:r>
        <w:rPr>
          <w:rFonts w:ascii="Consolas" w:hAnsi="Consolas"/>
          <w:color w:val="2D2D2D"/>
          <w:sz w:val="17"/>
        </w:rPr>
        <w:t xml:space="preserve">        （对应文档里“第二代 AI 验证输出”的想法）</w:t>
      </w:r>
    </w:p>
    <w:p>
      <w:pPr>
        <w:spacing w:line="240" w:lineRule="auto" w:before="0" w:after="0"/>
      </w:pPr>
      <w:r>
        <w:rPr>
          <w:rFonts w:ascii="Consolas" w:hAnsi="Consolas"/>
          <w:color w:val="2D2D2D"/>
          <w:sz w:val="17"/>
        </w:rPr>
        <w:t>第三遍 FEEDBACK -&gt; 生成具体、友善、可执行的反馈 + 针对最弱评分档的 1-2 道练习题</w:t>
      </w:r>
    </w:p>
    <w:p>
      <w:pPr>
        <w:spacing w:after="40"/>
      </w:pP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置信度（简单、诚实的版本）</w:t>
      </w:r>
    </w:p>
    <w:p>
      <w:pPr>
        <w:spacing w:line="360" w:lineRule="auto" w:after="60"/>
        <w:ind w:left="340"/>
      </w:pPr>
      <w:r>
        <w:rPr>
          <w:rFonts w:ascii="宋体" w:hAnsi="宋体" w:eastAsia="宋体"/>
          <w:sz w:val="21"/>
        </w:rPr>
        <w:t>第一遍与第二遍分数一致 -&gt; 高置信度，自动通过</w:t>
      </w:r>
    </w:p>
    <w:p>
      <w:pPr>
        <w:spacing w:line="360" w:lineRule="auto" w:after="60"/>
        <w:ind w:left="340"/>
      </w:pPr>
      <w:r>
        <w:rPr>
          <w:rFonts w:ascii="宋体" w:hAnsi="宋体" w:eastAsia="宋体"/>
          <w:sz w:val="21"/>
        </w:rPr>
        <w:t>相差 1 个档位 -&gt; 中置信度，老师可看到分歧</w:t>
      </w:r>
    </w:p>
    <w:p>
      <w:pPr>
        <w:spacing w:line="360" w:lineRule="auto" w:after="60"/>
        <w:ind w:left="340"/>
      </w:pPr>
      <w:r>
        <w:rPr>
          <w:rFonts w:ascii="宋体" w:hAnsi="宋体" w:eastAsia="宋体"/>
          <w:sz w:val="21"/>
        </w:rPr>
        <w:t>相差 2 个档位以上 -&gt; 低置信度，标记给老师复核</w:t>
      </w:r>
    </w:p>
    <w:p>
      <w:pPr>
        <w:spacing w:line="360" w:lineRule="auto" w:after="120"/>
      </w:pPr>
      <w:r>
        <w:rPr>
          <w:rFonts w:ascii="宋体" w:hAnsi="宋体" w:eastAsia="宋体"/>
          <w:sz w:val="21"/>
        </w:rPr>
        <w:t>这正是我们文档里“老师只复核被标记/边界题”的设想，且有已发表论文支撑（见第五节）。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3.3 知识库 / RAG：真理库</w:t>
      </w:r>
    </w:p>
    <w:p>
      <w:pPr>
        <w:spacing w:line="360" w:lineRule="auto" w:after="60"/>
        <w:ind w:left="340"/>
      </w:pPr>
      <w:r>
        <w:rPr>
          <w:rFonts w:ascii="宋体" w:hAnsi="宋体" w:eastAsia="宋体"/>
          <w:sz w:val="21"/>
        </w:rPr>
        <w:t>把 NESA 评分标准 + 真题 + 教学大纲词汇表索引进向量库（FAISS 或 Chroma，免费，本地运行）</w:t>
      </w:r>
    </w:p>
    <w:p>
      <w:pPr>
        <w:spacing w:line="360" w:lineRule="auto" w:after="60"/>
        <w:ind w:left="340"/>
      </w:pPr>
      <w:r>
        <w:rPr>
          <w:rFonts w:ascii="宋体" w:hAnsi="宋体" w:eastAsia="宋体"/>
          <w:sz w:val="21"/>
        </w:rPr>
        <w:t>每题检索相关评分标准片段，注入提示词</w:t>
      </w:r>
    </w:p>
    <w:p>
      <w:pPr>
        <w:spacing w:line="360" w:lineRule="auto" w:after="60"/>
        <w:ind w:left="340"/>
      </w:pPr>
      <w:r>
        <w:rPr>
          <w:rFonts w:ascii="宋体" w:hAnsi="宋体" w:eastAsia="宋体"/>
          <w:sz w:val="21"/>
        </w:rPr>
        <w:t>从根上解决“网上信息与教材矛盾”：只喂 NESA 官方材料，绝不喂通用网络内容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3.4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14"/>
            <w:shd w:fill="1F4E7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层</w:t>
            </w:r>
          </w:p>
        </w:tc>
        <w:tc>
          <w:tcPr>
            <w:tcW w:type="dxa" w:w="3685"/>
            <w:shd w:fill="1F4E7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选型</w:t>
            </w:r>
          </w:p>
        </w:tc>
        <w:tc>
          <w:tcPr>
            <w:tcW w:type="dxa" w:w="3685"/>
            <w:shd w:fill="1F4E7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1814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前端</w:t>
            </w:r>
          </w:p>
        </w:tc>
        <w:tc>
          <w:tcPr>
            <w:tcW w:type="dxa" w:w="3685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单页移动友好 HTML（无框架）</w:t>
            </w:r>
          </w:p>
        </w:tc>
        <w:tc>
          <w:tcPr>
            <w:tcW w:type="dxa" w:w="3685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快，任何手机可演示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后端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FastAPI（Python）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简单，全队都能读</w:t>
            </w:r>
          </w:p>
        </w:tc>
      </w:tr>
      <w:tr>
        <w:tc>
          <w:tcPr>
            <w:tcW w:type="dxa" w:w="1814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模型接入</w:t>
            </w:r>
          </w:p>
        </w:tc>
        <w:tc>
          <w:tcPr>
            <w:tcW w:type="dxa" w:w="3685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OpenAI 兼容接口</w:t>
            </w:r>
          </w:p>
        </w:tc>
        <w:tc>
          <w:tcPr>
            <w:tcW w:type="dxa" w:w="3685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同一套代码同时支持 A 轨（云端）和 B 轨（Ollama 本地）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数据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Google Sheets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对应文档里的 query_data 想法</w:t>
            </w:r>
          </w:p>
        </w:tc>
      </w:tr>
      <w:tr>
        <w:tc>
          <w:tcPr>
            <w:tcW w:type="dxa" w:w="1814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代码仓库</w:t>
            </w:r>
          </w:p>
        </w:tc>
        <w:tc>
          <w:tcPr>
            <w:tcW w:type="dxa" w:w="3685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GitHub</w:t>
            </w:r>
          </w:p>
        </w:tc>
        <w:tc>
          <w:tcPr>
            <w:tcW w:type="dxa" w:w="3685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本周建好，暂不需要 CI</w:t>
            </w:r>
          </w:p>
        </w:tc>
      </w:tr>
    </w:tbl>
    <w:p/>
    <w:p>
      <w:pPr>
        <w:spacing w:before="360" w:after="160"/>
      </w:pPr>
      <w:r>
        <w:rPr>
          <w:rFonts w:ascii="黑体" w:hAnsi="黑体" w:eastAsia="黑体"/>
          <w:b/>
          <w:color w:val="1F4E79"/>
          <w:sz w:val="32"/>
        </w:rPr>
        <w:t>四、架构图</w:t>
      </w:r>
    </w:p>
    <w:p>
      <w:pPr>
        <w:spacing w:line="240" w:lineRule="auto" w:before="0" w:after="0"/>
      </w:pPr>
      <w:r>
        <w:rPr>
          <w:rFonts w:ascii="Consolas" w:hAnsi="Consolas"/>
          <w:color w:val="2D2D2D"/>
          <w:sz w:val="17"/>
        </w:rPr>
        <w:t>+-------------+   +------------------+   +---------------------------------+</w:t>
      </w:r>
    </w:p>
    <w:p>
      <w:pPr>
        <w:spacing w:line="240" w:lineRule="auto" w:before="0" w:after="0"/>
      </w:pPr>
      <w:r>
        <w:rPr>
          <w:rFonts w:ascii="Consolas" w:hAnsi="Consolas"/>
          <w:color w:val="2D2D2D"/>
          <w:sz w:val="17"/>
        </w:rPr>
        <w:t>|  手机/电脑  |   |  FastAPI 后端    |   |  第一遍 GRADER --------+         |</w:t>
      </w:r>
    </w:p>
    <w:p>
      <w:pPr>
        <w:spacing w:line="240" w:lineRule="auto" w:before="0" w:after="0"/>
      </w:pPr>
      <w:r>
        <w:rPr>
          <w:rFonts w:ascii="Consolas" w:hAnsi="Consolas"/>
          <w:color w:val="2D2D2D"/>
          <w:sz w:val="17"/>
        </w:rPr>
        <w:t>|  浏览器     +--&gt;+  (Python)        +--&gt;+  第二遍 VERIFIER       +--&gt; 分数  |</w:t>
      </w:r>
    </w:p>
    <w:p>
      <w:pPr>
        <w:spacing w:line="240" w:lineRule="auto" w:before="0" w:after="0"/>
      </w:pPr>
      <w:r>
        <w:rPr>
          <w:rFonts w:ascii="Consolas" w:hAnsi="Consolas"/>
          <w:color w:val="2D2D2D"/>
          <w:sz w:val="17"/>
        </w:rPr>
        <w:t>|             |   |                  |   |  第三遍 FEEDBACK ------+  +置信度 |</w:t>
      </w:r>
    </w:p>
    <w:p>
      <w:pPr>
        <w:spacing w:line="240" w:lineRule="auto" w:before="0" w:after="0"/>
      </w:pPr>
      <w:r>
        <w:rPr>
          <w:rFonts w:ascii="Consolas" w:hAnsi="Consolas"/>
          <w:color w:val="2D2D2D"/>
          <w:sz w:val="17"/>
        </w:rPr>
        <w:t>+-------------+   +------------------+   +---------------+---------+</w:t>
      </w:r>
    </w:p>
    <w:p>
      <w:pPr>
        <w:spacing w:line="240" w:lineRule="auto" w:before="0" w:after="0"/>
      </w:pPr>
      <w:r>
        <w:rPr>
          <w:rFonts w:ascii="Consolas" w:hAnsi="Consolas"/>
          <w:color w:val="2D2D2D"/>
          <w:sz w:val="17"/>
        </w:rPr>
        <w:t xml:space="preserve">                                                    | RAG</w:t>
      </w:r>
    </w:p>
    <w:p>
      <w:pPr>
        <w:spacing w:line="240" w:lineRule="auto" w:before="0" w:after="0"/>
      </w:pPr>
      <w:r>
        <w:rPr>
          <w:rFonts w:ascii="Consolas" w:hAnsi="Consolas"/>
          <w:color w:val="2D2D2D"/>
          <w:sz w:val="17"/>
        </w:rPr>
        <w:t xml:space="preserve">                                      +-------------v------------+</w:t>
      </w:r>
    </w:p>
    <w:p>
      <w:pPr>
        <w:spacing w:line="240" w:lineRule="auto" w:before="0" w:after="0"/>
      </w:pPr>
      <w:r>
        <w:rPr>
          <w:rFonts w:ascii="Consolas" w:hAnsi="Consolas"/>
          <w:color w:val="2D2D2D"/>
          <w:sz w:val="17"/>
        </w:rPr>
        <w:t xml:space="preserve">                                      | NESA 文档（评分标准、真题、</w:t>
      </w:r>
    </w:p>
    <w:p>
      <w:pPr>
        <w:spacing w:line="240" w:lineRule="auto" w:before="0" w:after="0"/>
      </w:pPr>
      <w:r>
        <w:rPr>
          <w:rFonts w:ascii="Consolas" w:hAnsi="Consolas"/>
          <w:color w:val="2D2D2D"/>
          <w:sz w:val="17"/>
        </w:rPr>
        <w:t xml:space="preserve">                                      | 术语表）                  |</w:t>
      </w:r>
    </w:p>
    <w:p>
      <w:pPr>
        <w:spacing w:line="240" w:lineRule="auto" w:before="0" w:after="0"/>
      </w:pPr>
      <w:r>
        <w:rPr>
          <w:rFonts w:ascii="Consolas" w:hAnsi="Consolas"/>
          <w:color w:val="2D2D2D"/>
          <w:sz w:val="17"/>
        </w:rPr>
        <w:t xml:space="preserve">                                      | FAISS/Chroma 向量库       |</w:t>
      </w:r>
    </w:p>
    <w:p>
      <w:pPr>
        <w:spacing w:line="240" w:lineRule="auto" w:before="0" w:after="0"/>
      </w:pPr>
      <w:r>
        <w:rPr>
          <w:rFonts w:ascii="Consolas" w:hAnsi="Consolas"/>
          <w:color w:val="2D2D2D"/>
          <w:sz w:val="17"/>
        </w:rPr>
        <w:t xml:space="preserve">                                      +--------------------------+</w:t>
      </w:r>
    </w:p>
    <w:p>
      <w:pPr>
        <w:spacing w:line="240" w:lineRule="auto" w:before="0" w:after="0"/>
      </w:pPr>
      <w:r>
        <w:rPr>
          <w:rFonts w:ascii="Consolas" w:hAnsi="Consolas"/>
          <w:color w:val="2D2D2D"/>
          <w:sz w:val="17"/>
        </w:rPr>
        <w:t>老师复核页：接受 / 修改 / 驳回被标记的分数</w:t>
      </w:r>
    </w:p>
    <w:p>
      <w:pPr>
        <w:spacing w:after="40"/>
      </w:pPr>
    </w:p>
    <w:p>
      <w:pPr>
        <w:spacing w:before="360" w:after="160"/>
      </w:pPr>
      <w:r>
        <w:rPr>
          <w:rFonts w:ascii="黑体" w:hAnsi="黑体" w:eastAsia="黑体"/>
          <w:b/>
          <w:color w:val="1F4E79"/>
          <w:sz w:val="32"/>
        </w:rPr>
        <w:t>五、可行性证据（正好补上 External research 空章节）</w:t>
      </w:r>
    </w:p>
    <w:p>
      <w:pPr>
        <w:spacing w:line="360" w:lineRule="auto" w:after="60"/>
        <w:ind w:left="340"/>
      </w:pPr>
      <w:r>
        <w:rPr>
          <w:rFonts w:ascii="宋体" w:hAnsi="宋体" w:eastAsia="宋体"/>
          <w:sz w:val="21"/>
        </w:rPr>
        <w:t>SteLLA：基于 RAG 的结构化 LLM 批改系统（arXiv:2501.09092）。RAG + 教师评分标准 + 参考答案显著提升 LLM 简答题批改准确率。本质就是我们的设计，已有验证。</w:t>
      </w:r>
    </w:p>
    <w:p>
      <w:pPr>
        <w:spacing w:line="360" w:lineRule="auto" w:after="60"/>
        <w:ind w:left="340"/>
      </w:pPr>
      <w:r>
        <w:rPr>
          <w:rFonts w:ascii="宋体" w:hAnsi="宋体" w:eastAsia="宋体"/>
          <w:sz w:val="21"/>
        </w:rPr>
        <w:t>Rubric-Conditioned LLM Grading: Alignment, Uncertainty（arXiv:2601.08843）。系统评估 LLM 作为评分标准裁判的表现，含不确定性估计，支撑我们的置信度方案。</w:t>
      </w:r>
    </w:p>
    <w:p>
      <w:pPr>
        <w:spacing w:line="360" w:lineRule="auto" w:after="60"/>
        <w:ind w:left="340"/>
      </w:pPr>
      <w:r>
        <w:rPr>
          <w:rFonts w:ascii="宋体" w:hAnsi="宋体" w:eastAsia="宋体"/>
          <w:sz w:val="21"/>
        </w:rPr>
        <w:t>Automatic Short Answer Grading with LLMs（ACM 2025）。开源权重 LLM + 评分标准提示词无需昂贵微调即可有竞争力，支撑我们“先不微调”的立场。</w:t>
      </w:r>
    </w:p>
    <w:p>
      <w:pPr>
        <w:spacing w:line="360" w:lineRule="auto" w:after="60"/>
        <w:ind w:left="340"/>
      </w:pPr>
      <w:r>
        <w:rPr>
          <w:rFonts w:ascii="宋体" w:hAnsi="宋体" w:eastAsia="宋体"/>
          <w:sz w:val="21"/>
        </w:rPr>
        <w:t>竞品参照：marking.ai。我们的差异化仍是“实时辅导 + 置信度 + 老师参与闭环”，而不只是批改。</w:t>
      </w:r>
    </w:p>
    <w:p>
      <w:pPr>
        <w:spacing w:before="360" w:after="160"/>
      </w:pPr>
      <w:r>
        <w:rPr>
          <w:rFonts w:ascii="黑体" w:hAnsi="黑体" w:eastAsia="黑体"/>
          <w:b/>
          <w:color w:val="1F4E79"/>
          <w:sz w:val="32"/>
        </w:rPr>
        <w:t>六、时间线（2.5 周出 demo）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417"/>
            <w:shd w:fill="1F4E7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天数</w:t>
            </w:r>
          </w:p>
        </w:tc>
        <w:tc>
          <w:tcPr>
            <w:tcW w:type="dxa" w:w="7654"/>
            <w:shd w:fill="1F4E7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里程碑</w:t>
            </w:r>
          </w:p>
        </w:tc>
      </w:tr>
      <w:tr>
        <w:tc>
          <w:tcPr>
            <w:tcW w:type="dxa" w:w="1417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1-2</w:t>
            </w:r>
          </w:p>
        </w:tc>
        <w:tc>
          <w:tcPr>
            <w:tcW w:type="dxa" w:w="7654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建 GitHub 仓库；选定科目 + 5 道真题 + 评分标准；单次 API 调用批改 1 道题</w:t>
            </w:r>
          </w:p>
        </w:tc>
      </w:tr>
      <w:tr>
        <w:tc>
          <w:tcPr>
            <w:tcW w:type="dxa" w:w="141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3-5</w:t>
            </w:r>
          </w:p>
        </w:tc>
        <w:tc>
          <w:tcPr>
            <w:tcW w:type="dxa" w:w="765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三遍引擎 + 置信度逻辑；用 10 份模拟答案测试（含 2 份边界答案）</w:t>
            </w:r>
          </w:p>
        </w:tc>
      </w:tr>
      <w:tr>
        <w:tc>
          <w:tcPr>
            <w:tcW w:type="dxa" w:w="1417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6-8</w:t>
            </w:r>
          </w:p>
        </w:tc>
        <w:tc>
          <w:tcPr>
            <w:tcW w:type="dxa" w:w="7654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RAG 索引 NESA 文档；移动友好网页</w:t>
            </w:r>
          </w:p>
        </w:tc>
      </w:tr>
      <w:tr>
        <w:tc>
          <w:tcPr>
            <w:tcW w:type="dxa" w:w="141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9-12</w:t>
            </w:r>
          </w:p>
        </w:tc>
        <w:tc>
          <w:tcPr>
            <w:tcW w:type="dxa" w:w="765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老师复核流程；打磨；真机测试</w:t>
            </w:r>
          </w:p>
        </w:tc>
      </w:tr>
      <w:tr>
        <w:tc>
          <w:tcPr>
            <w:tcW w:type="dxa" w:w="1417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 起</w:t>
            </w:r>
          </w:p>
        </w:tc>
        <w:tc>
          <w:tcPr>
            <w:tcW w:type="dxa" w:w="7654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找 1-2 名真实学生试用，收集反馈金句用于路演</w:t>
            </w:r>
          </w:p>
        </w:tc>
      </w:tr>
    </w:tbl>
    <w:p/>
    <w:p>
      <w:pPr>
        <w:spacing w:before="360" w:after="160"/>
      </w:pPr>
      <w:r>
        <w:rPr>
          <w:rFonts w:ascii="黑体" w:hAnsi="黑体" w:eastAsia="黑体"/>
          <w:b/>
          <w:color w:val="1F4E79"/>
          <w:sz w:val="32"/>
        </w:rPr>
        <w:t>七、风险与对策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969"/>
            <w:shd w:fill="1F4E7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5102"/>
            <w:shd w:fill="1F4E7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对策</w:t>
            </w:r>
          </w:p>
        </w:tc>
      </w:tr>
      <w:tr>
        <w:tc>
          <w:tcPr>
            <w:tcW w:type="dxa" w:w="3969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难题上 LLM 批改不可靠</w:t>
            </w:r>
          </w:p>
        </w:tc>
        <w:tc>
          <w:tcPr>
            <w:tcW w:type="dxa" w:w="5102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验证者分歧 -&gt; 标记给老师。边界题默认人工，这是设计的一部分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API 费用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 轨总计约 5 澳元；B 轨免费本地</w:t>
            </w:r>
          </w:p>
        </w:tc>
      </w:tr>
      <w:tr>
        <w:tc>
          <w:tcPr>
            <w:tcW w:type="dxa" w:w="3969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NESA 材料版权 / 隐私</w:t>
            </w:r>
          </w:p>
        </w:tc>
        <w:tc>
          <w:tcPr>
            <w:tcW w:type="dxa" w:w="5102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只用公开 HSC 材料，不存储任何真实学生数据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没有真实教师资源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演示用模拟教师流程 + 学生测试者的真实反馈</w:t>
            </w:r>
          </w:p>
        </w:tc>
      </w:tr>
      <w:tr>
        <w:tc>
          <w:tcPr>
            <w:tcW w:type="dxa" w:w="3969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团队产能（已知问题）</w:t>
            </w:r>
          </w:p>
        </w:tc>
        <w:tc>
          <w:tcPr>
            <w:tcW w:type="dxa" w:w="5102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每人只分一个小任务，不让任何人成为瓶颈</w:t>
            </w:r>
          </w:p>
        </w:tc>
      </w:tr>
    </w:tbl>
    <w:p/>
    <w:p>
      <w:pPr>
        <w:spacing w:before="360" w:after="160"/>
      </w:pPr>
      <w:r>
        <w:rPr>
          <w:rFonts w:ascii="黑体" w:hAnsi="黑体" w:eastAsia="黑体"/>
          <w:b/>
          <w:color w:val="1F4E79"/>
          <w:sz w:val="32"/>
        </w:rPr>
        <w:t>八、需要团队决策的事项</w:t>
      </w:r>
    </w:p>
    <w:p>
      <w:pPr>
        <w:spacing w:line="360" w:lineRule="auto" w:after="60"/>
        <w:ind w:left="340"/>
      </w:pPr>
      <w:r>
        <w:rPr>
          <w:rFonts w:ascii="宋体" w:hAnsi="宋体" w:eastAsia="宋体"/>
          <w:sz w:val="21"/>
        </w:rPr>
        <w:t>1. 确认科目：Enterprise Computing 还是其他 HSC 定性科目（需要有真题和评分标准可用）</w:t>
      </w:r>
    </w:p>
    <w:p>
      <w:pPr>
        <w:spacing w:line="360" w:lineRule="auto" w:after="60"/>
        <w:ind w:left="340"/>
      </w:pPr>
      <w:r>
        <w:rPr>
          <w:rFonts w:ascii="宋体" w:hAnsi="宋体" w:eastAsia="宋体"/>
          <w:sz w:val="21"/>
        </w:rPr>
        <w:t>2. 确认比赛截止日期和交付物格式（问 Alfos），以便锁定时间线</w:t>
      </w:r>
    </w:p>
    <w:p>
      <w:pPr>
        <w:spacing w:line="360" w:lineRule="auto" w:after="60"/>
        <w:ind w:left="340"/>
      </w:pPr>
      <w:r>
        <w:rPr>
          <w:rFonts w:ascii="宋体" w:hAnsi="宋体" w:eastAsia="宋体"/>
          <w:sz w:val="21"/>
        </w:rPr>
        <w:t>3. 分工建议：后端 + 批改引擎（1-2 人，Python）；RAG + NESA 数据收集（1 人）；前端界面（1 人）；路演 PPT + 演示脚本（1 人）；用户测试 + 反馈收集（全员，每人 1 小时）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