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68"/>
        </w:rPr>
        <w:t>CoachAI</w:t>
      </w:r>
    </w:p>
    <w:p>
      <w:pPr>
        <w:jc w:val="center"/>
      </w:pPr>
      <w:r>
        <w:rPr>
          <w:rFonts w:ascii="Calibri" w:hAnsi="Calibri"/>
          <w:sz w:val="32"/>
        </w:rPr>
        <w:t>AI Real-Time Coach for HSC Enterprise Computing</w:t>
      </w:r>
    </w:p>
    <w:p/>
    <w:p>
      <w:pPr>
        <w:jc w:val="center"/>
      </w:pPr>
      <w:r>
        <w:rPr>
          <w:rFonts w:ascii="Calibri" w:hAnsi="Calibri"/>
          <w:sz w:val="24"/>
        </w:rPr>
        <w:t>Project Progress &amp; Technical Report</w:t>
      </w:r>
    </w:p>
    <w:p>
      <w:pPr>
        <w:jc w:val="center"/>
      </w:pPr>
      <w:r>
        <w:rPr>
          <w:rFonts w:ascii="Calibri" w:hAnsi="Calibri"/>
          <w:sz w:val="22"/>
        </w:rPr>
      </w:r>
    </w:p>
    <w:p>
      <w:pPr>
        <w:jc w:val="center"/>
      </w:pPr>
      <w:r>
        <w:rPr>
          <w:rFonts w:ascii="Calibri" w:hAnsi="Calibri"/>
          <w:sz w:val="24"/>
        </w:rPr>
        <w:t>Team iSoft AI Innovation</w:t>
      </w:r>
    </w:p>
    <w:p>
      <w:pPr>
        <w:jc w:val="center"/>
      </w:pPr>
      <w:r>
        <w:rPr>
          <w:rFonts w:ascii="Calibri" w:hAnsi="Calibri"/>
          <w:sz w:val="24"/>
        </w:rPr>
        <w:t>Prepared by: Xing (new member) | 2 September 2026</w:t>
      </w:r>
    </w:p>
    <w:p>
      <w:pPr>
        <w:jc w:val="center"/>
      </w:pPr>
      <w:r>
        <w:rPr>
          <w:rFonts w:ascii="Calibri" w:hAnsi="Calibri"/>
          <w:sz w:val="24"/>
        </w:rPr>
        <w:t>Version 1.0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Try It Live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Two working demos accompany this report. Open them on any phone.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1) Live AI marking demo (real engine, real answers): </w:t>
      </w:r>
      <w:hyperlink r:id="rId9">
        <w:r>
          <w:rPr>
            <w:rFonts w:ascii="Calibri" w:hAnsi="Calibri"/>
            <w:color w:val="0563C1"/>
            <w:u w:val="single"/>
            <w:sz w:val="22"/>
          </w:rPr>
          <w:t>https://provincial-sticks-currency-eng.trycloudflare.com</w:t>
        </w:r>
      </w:hyperlink>
    </w:p>
    <w:p>
      <w:pPr>
        <w:spacing w:line="276" w:lineRule="auto" w:after="120"/>
      </w:pPr>
      <w:r>
        <w:rPr>
          <w:rFonts w:ascii="Calibri" w:hAnsi="Calibri"/>
          <w:sz w:val="20"/>
        </w:rPr>
        <w:t>This is the real pipeline: choose a 2025 HSC question, type or load a sample answer, and the Marker + Verifier engine grades it against the official rubric (30-60 s per answer). Note: it is served from the team laptop via a temporary tunnel, so it is online whenever the laptop is running. If the link stops working, ask Xing to restart the tunnel.</w:t>
      </w:r>
    </w:p>
    <w:p>
      <w:pPr>
        <w:spacing w:after="40" w:before="200"/>
      </w:pPr>
      <w:r>
        <w:rPr>
          <w:rFonts w:ascii="Calibri" w:hAnsi="Calibri"/>
          <w:b/>
          <w:sz w:val="22"/>
        </w:rPr>
        <w:t xml:space="preserve">2) Concept demo (static, always online): </w:t>
      </w:r>
      <w:hyperlink r:id="rId10">
        <w:r>
          <w:rPr>
            <w:rFonts w:ascii="Calibri" w:hAnsi="Calibri"/>
            <w:color w:val="0563C1"/>
            <w:u w:val="single"/>
            <w:sz w:val="22"/>
          </w:rPr>
          <w:t>https://12345666ddwa.github.io/coachai-mvp/</w:t>
        </w:r>
      </w:hyperlink>
    </w:p>
    <w:p>
      <w:pPr>
        <w:spacing w:line="276" w:lineRule="auto" w:after="120"/>
      </w:pPr>
      <w:r>
        <w:rPr>
          <w:rFonts w:ascii="Calibri" w:hAnsi="Calibri"/>
          <w:sz w:val="20"/>
        </w:rPr>
        <w:t>The design mock-up of the intended user experience - no backend, instant, phone-friendly. Good for showing the UX flow before touching the live engine.</w:t>
      </w:r>
    </w:p>
    <w:p>
      <w:pPr>
        <w:spacing w:after="40" w:before="200"/>
      </w:pPr>
      <w:r>
        <w:rPr>
          <w:rFonts w:ascii="Calibri" w:hAnsi="Calibri"/>
          <w:b/>
          <w:sz w:val="22"/>
        </w:rPr>
        <w:t xml:space="preserve">3) Source code and this report: </w:t>
      </w:r>
      <w:hyperlink r:id="rId11">
        <w:r>
          <w:rPr>
            <w:rFonts w:ascii="Calibri" w:hAnsi="Calibri"/>
            <w:color w:val="0563C1"/>
            <w:u w:val="single"/>
            <w:sz w:val="22"/>
          </w:rPr>
          <w:t>https://github.com/12345666ddwa/coachai-mvp</w:t>
        </w:r>
      </w:hyperlink>
    </w:p>
    <w:p>
      <w:pPr>
        <w:spacing w:line="276" w:lineRule="auto" w:after="120"/>
      </w:pPr>
      <w:r>
        <w:rPr>
          <w:rFonts w:ascii="Calibri" w:hAnsi="Calibri"/>
          <w:sz w:val="20"/>
        </w:rPr>
        <w:t>Full repository (code, question bank, RAG index script, Golden Set, figures).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1. Executive Summary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This report documents everything the team has produced since Xing joined: the architecture, the working codebase, the verification methodology, and the measured results. The deliverable is a working proof of concept: an AI that marks HSC Enterprise Computing short answers against the official NESA marking guidelines, with confidence levels and teacher-in-the-loop review.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Headline numbers: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113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669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Question bank</w:t>
            </w:r>
          </w:p>
        </w:tc>
        <w:tc>
          <w:tcPr>
            <w:tcW w:type="dxa" w:w="113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18 questions from the 2025 HSC Enterprise Computing exam (the subject's first-ever HSC paper), with official marking guidelines transcribed verbatim from the NESA marking guidelines PDF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RAG knowledge base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 official NESA Teacher Support Resources (Year 12 modules) indexed into Chroma: 1,046 chunks</w:t>
            </w:r>
          </w:p>
        </w:tc>
      </w:tr>
      <w:tr>
        <w:tc>
          <w:tcPr>
            <w:tcW w:type="dxa" w:w="226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Marking engine</w:t>
            </w:r>
          </w:p>
        </w:tc>
        <w:tc>
          <w:tcPr>
            <w:tcW w:type="dxa" w:w="113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LangGraph state machine: Marker Agent + Verifier Agent + RAG retrieval + confidence blending + retry loop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Model abstraction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 config line swaps the LLM provider (DeepSeek active now; Gemini free tier / local Ollama ready)</w:t>
            </w:r>
          </w:p>
        </w:tc>
      </w:tr>
      <w:tr>
        <w:tc>
          <w:tcPr>
            <w:tcW w:type="dxa" w:w="226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13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Gradio app (phone-friendly, EN/CN toggle) with a live public demo link (Cloudflare Tunnel); see 'Try It Live' on the next page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Verification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Golden Set: 32 simulated answers (8 questions x 4 quality bands), expected marks from official rubric</w:t>
            </w:r>
          </w:p>
        </w:tc>
      </w:tr>
      <w:tr>
        <w:tc>
          <w:tcPr>
            <w:tcW w:type="dxa" w:w="226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Verification result</w:t>
            </w:r>
          </w:p>
        </w:tc>
        <w:tc>
          <w:tcPr>
            <w:tcW w:type="dxa" w:w="113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Measured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32/32 graded within +/-1 band of the official rubric (100%); exact match 78.1%; zero wild misses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2. What We Built (System Overview)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system follows our chosen architecture from the team document: NESA materials are the single source of truth; two LangGraph workflows share a RAG knowledge base; every LLM call goes through one abstraction layer; students and teachers interact through a mobile-friendly web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1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684"/>
          <w:sz w:val="18"/>
        </w:rPr>
        <w:t>Figure 1 - System architecture overview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3. Codebase Map</w:t>
      </w:r>
    </w:p>
    <w:p>
      <w:pPr>
        <w:spacing w:line="240" w:lineRule="auto" w:after="80"/>
      </w:pPr>
      <w:r>
        <w:rPr>
          <w:rFonts w:ascii="Consolas" w:hAnsi="Consolas"/>
          <w:color w:val="2D2D2D"/>
          <w:sz w:val="18"/>
        </w:rPr>
        <w:t>ai-coach/</w:t>
        <w:br/>
        <w:t>|-- app.py                  # Gradio UI (question picker, answer input, results)</w:t>
        <w:br/>
        <w:t>|-- agents/</w:t>
        <w:br/>
        <w:t>|   |-- models.py           # Model abstraction layer - complete() is the ONLY LLM entry point</w:t>
        <w:br/>
        <w:t>|   |-- marker.py           # Marker Agent: HSC teacher role, T=0.5, provisional marks + feedback</w:t>
        <w:br/>
        <w:t>|   `-- verifier.py         # Verifier Agent: NESA QA auditor role, T=0.2, audit + confidence</w:t>
        <w:br/>
        <w:t>|-- graphs/</w:t>
        <w:br/>
        <w:t>|   `-- mark_graph.py       # LangGraph state machine (Workflow 1) + mark_answer() public API</w:t>
        <w:br/>
        <w:t>|-- rag/</w:t>
        <w:br/>
        <w:t>|   |-- indexer.py          # TSR docx -&gt; chunks -&gt; Chroma (1,046 chunks, MiniLM-L6-v2)</w:t>
        <w:br/>
        <w:t>|   `-- retriever.py        # search(query, k, topic) used by the graph's retrieve node</w:t>
        <w:br/>
        <w:t>|-- data/</w:t>
        <w:br/>
        <w:t>|   |-- questions.json      # 18-question bank with official marking guidelines</w:t>
        <w:br/>
        <w:t>|   `-- chroma_db/          # persistent vector store</w:t>
        <w:br/>
        <w:t>|-- tests/</w:t>
        <w:br/>
        <w:t>|   |-- golden_set.json     # 32 answers with expected marks + justification</w:t>
        <w:br/>
        <w:t>|   |-- run_golden.py       # regression runner: AI mark vs expected mark</w:t>
        <w:br/>
        <w:t>|   |-- test_mark.py        # workflow smoke tests</w:t>
        <w:br/>
        <w:t>|   `-- test_llm.py         # model connectivity test</w:t>
        <w:br/>
        <w:t>|-- raw/                    # source PDFs + extracted text (2025 HSC MG, full-mark samples)</w:t>
        <w:br/>
        <w:t>`-- docs/figures/           # report figures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public contract used by the UI: mark_answer(question_id, student_answer) returns a dict with status (approved / flagged / error), marks, max_marks, confidence_pct, confidence_level, feedback items and flags. Errors never raise - they are returned as status=error so the UI can show a friendly message.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4. Key Design Decisions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4.1 Model abstraction - switching LLM providers costs nothing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recurring team concern was: if we start with one API and later move to another (e.g. Gemini free tier or a local open-weight model), do we redo everything? No. Every agent calls agents.models.complete() and nothing else. The provider is resolved from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1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bst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684"/>
          <w:sz w:val="18"/>
        </w:rPr>
        <w:t>Figure 2 - Model abstraction layer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DeepSeek deepseek-v4-flash is active now (cheap, reliable, we already had a key). Gemini 3.5 Flash free tier and local Ollama are one-line additions when we need them.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4.2 Two-agent marking engine (Workflow 1)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core pipeline implements the team's original design: a Marker grades generously with contextual interpretation (T=0.5); an independent Verifier audits sceptically (T=0.2) - recomputing the mark, hunting for hallucinated concepts against the retrieved syllabus material, and rejecting verdicts it does not agree with.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7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684"/>
          <w:sz w:val="18"/>
        </w:rPr>
        <w:t>Figure 3 - Workflow 1: LangGraph state machine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4.3 Confidence score - not a model guess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Verifier self-reports confidence, but we blend it with objective signals so the number is explainable and audit-friendly:</w:t>
      </w:r>
    </w:p>
    <w:p>
      <w:pPr>
        <w:spacing w:line="240" w:lineRule="auto" w:after="80"/>
      </w:pPr>
      <w:r>
        <w:rPr>
          <w:rFonts w:ascii="Consolas" w:hAnsi="Consolas"/>
          <w:color w:val="2D2D2D"/>
          <w:sz w:val="18"/>
        </w:rPr>
        <w:t>confidence = 0.6 x verifier_self_report</w:t>
        <w:br/>
        <w:t xml:space="preserve">          + 20 if marker and verifier marks agree</w:t>
        <w:br/>
        <w:t xml:space="preserve">          + 10 if they differ by exactly 1 band</w:t>
        <w:br/>
        <w:t xml:space="preserve">          + 10 if the verifier approved</w:t>
        <w:br/>
        <w:t>clamped to [25, 95]   (never 100%: a human always has the last word)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Mapping: &gt;=80 high (auto-ship), 50-79 medium, &lt;50 low (flagged for teacher review).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4.4 Retrieval-first RAG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RAG retrieval runs BEFORE grading: the retrieved NESA syllabus chunks are injected into the Marker's prompt as grading context, not appended afterwards as an afterthought. Only official NESA material is indexed - this is our answer to the 'internet contradicts the course' problem.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4.5 Retry loop with a hard cap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When the Verifier rejects a verdict, the critique is fed back to the Marker for one re-grade round (max 2 rounds). If it still disagrees, the answer is flagged for a human teacher - no infinite loop, no wasted API budget.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4.6 Model training data and fine-tuning (clarification)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Question from the team: what was the model trained on? Clear answer: we do NOT fine-tune or train the model at all. The LLM is DeepSeek v4-flash, a general-purpose pretrained model - it has never seen our question bank or the HSC materials during training (0 epochs of fine-tuning, by design).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All HSC-specific knowledge enters the system at inference time through two channels: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1) </w:t>
      </w:r>
      <w:r>
        <w:rPr>
          <w:rFonts w:ascii="Calibri" w:hAnsi="Calibri"/>
          <w:sz w:val="22"/>
        </w:rPr>
        <w:t>The question bank (data/questions.json): 18 real 2025 HSC questions with their official NESA marking guidelines, transcribed verbatim from the marking guidelines PDF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2) </w:t>
      </w:r>
      <w:r>
        <w:rPr>
          <w:rFonts w:ascii="Calibri" w:hAnsi="Calibri"/>
          <w:sz w:val="22"/>
        </w:rPr>
        <w:t>RAG retrieval: the 4 NESA Teacher Support Resources are indexed (1,046 chunks) and the relevant chunks are injected into the Marker's prompt for each answer. (So the system touches 5 official documents in total: the 4 TSRs plus the marking guidelines held in the question bank.)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Why no fine-tuning in the MVP: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sz w:val="22"/>
        </w:rPr>
        <w:t>Published evidence: open-weight LLMs prompted with rubric criteria grade competitively without fine-tuning (ACM 2025, Automatic Short Answer Grading with LLMs). Our own Golden Set result (78.1% exact, 100% within +/-1 band, zero misses on 32 answers) confirms this holds for our pipeline.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Coverage: </w:t>
      </w:r>
      <w:r>
        <w:rPr>
          <w:rFonts w:ascii="Calibri" w:hAnsi="Calibri"/>
          <w:sz w:val="22"/>
        </w:rPr>
        <w:t>RAG already gives the model the exact official wording it needs at marking time - equivalent to 'looking up the syllabus' rather than memorising it.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Brief: </w:t>
      </w:r>
      <w:r>
        <w:rPr>
          <w:rFonts w:ascii="Calibri" w:hAnsi="Calibri"/>
          <w:sz w:val="22"/>
        </w:rPr>
        <w:t>The team's own planning note said 'potentially we will not even need to do any fine tuning and instead just the prompt' - we built exactly that and it works.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If we later need fine-tuning (e.g. to run offline without retrieval, or to push accuracy higher), the 4 TSRs are the right training corpus - that is when 'fine-tuning on the 4 teacher support resources' becomes true. It is deliberately not done yet.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4.7 Fine-tuning roadmap: where it would sit, how, and what it buys us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If we fine-tune, nothing changes in the runtime graph. Fine-tuning is an offline step that replaces the Marker's base model (and optionally the Verifier's). The model abstraction layer (agents/models.py) was designed for exactly this: after fine-tuning, pointing the Marker at a local fine-tuned model is a configuration change - zero pipeline edits.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sequence we would follow: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1. Data first: </w:t>
      </w:r>
      <w:r>
        <w:rPr>
          <w:rFonts w:ascii="Calibri" w:hAnsi="Calibri"/>
          <w:sz w:val="22"/>
        </w:rPr>
        <w:t>Grow the Golden Set from 32 to roughly 300 labelled (answer, score, feedback) triples - AI-assisted first pass, human review. The existing 32 answers stay reserved as a held-out test set; they are never used for training (that would leak the evaluation).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2. Method: </w:t>
      </w:r>
      <w:r>
        <w:rPr>
          <w:rFonts w:ascii="Calibri" w:hAnsi="Calibri"/>
          <w:sz w:val="22"/>
        </w:rPr>
        <w:t>LoRA / QLoRA parameter-efficient fine-tuning on a small open-weight base (Qwen3-4B class). Not full fine-tuning - cheaper and easier to keep under control.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3. Objective: </w:t>
      </w:r>
      <w:r>
        <w:rPr>
          <w:rFonts w:ascii="Calibri" w:hAnsi="Calibri"/>
          <w:sz w:val="22"/>
        </w:rPr>
        <w:t>Output the same strict JSON contract (marks, justification, feedback) aligned with NESA rubric language, with the 4 TSRs as background corpus so the model internalises syllabus terms. This is the step where 'fine-tuning on the 4 TSRs' genuinely happens.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4. Evaluation gate: </w:t>
      </w:r>
      <w:r>
        <w:rPr>
          <w:rFonts w:ascii="Calibri" w:hAnsi="Calibri"/>
          <w:sz w:val="22"/>
        </w:rPr>
        <w:t>Re-run the same Golden Set regression. Acceptance criteria: accuracy no worse than today (78.1% exact, 100% within +/-1 band) AND latency/cost clearly better. Only then do we swap the provider.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5. Rollout: </w:t>
      </w:r>
      <w:r>
        <w:rPr>
          <w:rFonts w:ascii="Calibri" w:hAnsi="Calibri"/>
          <w:sz w:val="22"/>
        </w:rPr>
        <w:t>Marker runs on the fine-tuned local model (Ollama / vLLM); RAG stays (official wording is still injected); the Verifier remains on the stronger cloud model as the independent auditor. Division of labour: a fast local Marker, a sceptical cloud Verifier.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What fine-tuning would buy us: near-zero marginal cost per marking (local inference); latency from 30-70 s down to seconds on a laptop GPU; true offline capability (the complete 'runs on a device' story for the pitch and for schools with no reliable internet); student answers never leaving the device (a real selling point for schools); and no API rate limits or output truncation failures.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costs and risks: roughly 300 quality labels require human time; small models have a ceiling on long, subtle answers (which is why the Verifier stays on the big model); overfitting is mitigated by the held-out test set and LoRA.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Timing: after the competition core is stable - not before the deadline with 32 samples. If a judge asks whether we fine-tuned: 'The MVP does not need it - published evidence and our own 32-answer regression show rubric-conditioned prompting with RAG is sufficient. We have a concrete roadmap to add fine-tuning for offline deployment, with the 4 TSRs as the training corpus.'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5. How We Verified (Methodology)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To measure quality honestly we built a Golden Set - the same pattern used in academic grading research: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Questions: </w:t>
      </w:r>
      <w:r>
        <w:rPr>
          <w:rFonts w:ascii="Calibri" w:hAnsi="Calibri"/>
          <w:sz w:val="22"/>
        </w:rPr>
        <w:t>8 real 2025 HSC questions were selected (text-answerable ones across all four syllabus modules)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Answers: </w:t>
      </w:r>
      <w:r>
        <w:rPr>
          <w:rFonts w:ascii="Calibri" w:hAnsi="Calibri"/>
          <w:sz w:val="22"/>
        </w:rPr>
        <w:t>For each question we wrote 4 simulated student answers: excellent, good, weak, borderline (32 total) - deliberately imperfect, with the occasional spelling slip, like real students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Expected marks: </w:t>
      </w:r>
      <w:r>
        <w:rPr>
          <w:rFonts w:ascii="Calibri" w:hAnsi="Calibri"/>
          <w:sz w:val="22"/>
        </w:rPr>
        <w:t>Expected marks were derived strictly from the official NESA marking guidelines; every answer carries a note stating which band criterion justifies its expected mark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Runner: </w:t>
      </w:r>
      <w:r>
        <w:rPr>
          <w:rFonts w:ascii="Calibri" w:hAnsi="Calibri"/>
          <w:sz w:val="22"/>
        </w:rPr>
        <w:t>tests/run_golden.py feeds each answer through the real pipeline and compares AI marks against expected marks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Self-audit: </w:t>
      </w:r>
      <w:r>
        <w:rPr>
          <w:rFonts w:ascii="Calibri" w:hAnsi="Calibri"/>
          <w:sz w:val="22"/>
        </w:rPr>
        <w:t>During human review one expectation was itself revised (q24 weak: 1 -&gt; 2 marks) because the official band-2 criterion ('Identifies some features...') clearly applied - the correction is logged in golden_set.json with its rationale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6.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Answers graded successfully</w:t>
            </w:r>
          </w:p>
        </w:tc>
        <w:tc>
          <w:tcPr>
            <w:tcW w:type="dxa" w:w="45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32 / 32 (0 skipped, 0 errors)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Exact match with official rubric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25 / 32 = 78.1%</w:t>
            </w:r>
          </w:p>
        </w:tc>
      </w:tr>
      <w:tr>
        <w:tc>
          <w:tcPr>
            <w:tcW w:type="dxa" w:w="45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Within +/-1 band of official rubric</w:t>
            </w:r>
          </w:p>
        </w:tc>
        <w:tc>
          <w:tcPr>
            <w:tcW w:type="dxa" w:w="45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32 / 32 = 100%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Wild misses (&gt;=2 bands off)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/>
    <w:p>
      <w:pPr>
        <w:spacing w:line="276" w:lineRule="auto" w:after="120"/>
      </w:pPr>
      <w:r>
        <w:rPr>
          <w:rFonts w:ascii="Calibri" w:hAnsi="Calibri"/>
          <w:sz w:val="22"/>
        </w:rPr>
        <w:t>By answer quality: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Quality band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Exact match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Within +/-1 band</w:t>
            </w:r>
          </w:p>
        </w:tc>
        <w:tc>
          <w:tcPr>
            <w:tcW w:type="dxa" w:w="311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Excellent (top answers)</w:t>
            </w:r>
          </w:p>
        </w:tc>
        <w:tc>
          <w:tcPr>
            <w:tcW w:type="dxa" w:w="170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8/8 = 100%</w:t>
            </w:r>
          </w:p>
        </w:tc>
        <w:tc>
          <w:tcPr>
            <w:tcW w:type="dxa" w:w="170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The engine reliably recognises high-quality answers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Good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7/8 = 87.5%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Weak</w:t>
            </w:r>
          </w:p>
        </w:tc>
        <w:tc>
          <w:tcPr>
            <w:tcW w:type="dxa" w:w="170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6/8 = 75%</w:t>
            </w:r>
          </w:p>
        </w:tc>
        <w:tc>
          <w:tcPr>
            <w:tcW w:type="dxa" w:w="170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Borderline (trickiest)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4/8 = 50%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Disagreement here is expected - this is exactly what the Verifier flags for the teacher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0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684"/>
          <w:sz w:val="18"/>
        </w:rPr>
        <w:t>Figure 4 - Golden Set results (n=32)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Interpretation: zero wild misses means no 'great answer failed' or 'bad answer rewarded' cases. The 50% exact rate on borderline answers is not a weakness - real HSC markers disagree on borderline scripts too; our design routes exactly those cases to the teacher through the Verifier flag.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7. Issues Found and How We Fixed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1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1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Verifier output truncated on long questions (q24, 5 marks)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Default max_tokens=4096 cut long JSON replies mid-string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max_tokens raised to 8192 for the Verifier + prompt now asks for compact feedback (&lt;40 words per item)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2/32 golden answers skipped with JSON parse errors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Same truncation issue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Fixed above - re-run graded 32/32 with zero skips</w:t>
            </w:r>
          </w:p>
        </w:tc>
      </w:tr>
      <w:tr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 expected mark looked too harsh (q24 weak: expected 1)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Human labelling of the 'weak' answer was stricter than the official band-2 criterion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Re-derived from the rubric: expected 2. Logged in golden_set.json with rationale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Model name 'deepseek-chat' failed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DeepSeek API serves model ids deepseek-v4-flash / deepseek-v4-pro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Default model corrected to deepseek-v4-flash (verified via /models endpoint)</w:t>
            </w:r>
          </w:p>
        </w:tc>
      </w:tr>
      <w:tr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 PDF past papers exist for this subject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Enterprise Computing is examined fully online; 2025 was its first HSC year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Question stems captured from the official online exam system (fam.hsconline.nesa.nsw.edu.au); marking guidelines PDF downloaded from nsw.gov.au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Slow per-answer latency (30-70 s)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answer costs 2-4 LLM calls on DeepSeek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In-memory cache keyed on question + answer prefix; demo flow reuses cached results</w:t>
            </w:r>
          </w:p>
        </w:tc>
      </w:tr>
      <w:tr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Team UI feedback: full question was not visible; interface felt less professional (emoji, round cards)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Question text truncated to 78 chars in the picker; playful styling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Full question preview panel added under the picker; emoji removed; corners squared; layout widened (1180 px) with more white space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8. How to Run It</w:t>
      </w:r>
    </w:p>
    <w:p>
      <w:pPr>
        <w:spacing w:line="240" w:lineRule="auto" w:after="80"/>
      </w:pPr>
      <w:r>
        <w:rPr>
          <w:rFonts w:ascii="Consolas" w:hAnsi="Consolas"/>
          <w:color w:val="2D2D2D"/>
          <w:sz w:val="18"/>
        </w:rPr>
        <w:t>cd ai-coach</w:t>
        <w:br/>
        <w:t>pip install -r requirements.txt     # openai, python-dotenv, langgraph, chromadb, gradio, sentence-transformers</w:t>
        <w:br/>
        <w:t># .env: DEEPSEEK_API_KEY=sk-... DEEPSEEK_BASE_URL=https://api.deepseek.com/v1</w:t>
        <w:br/>
        <w:t>python3 app.py                      # Gradio UI at http://127.0.0.1:7860</w:t>
        <w:br/>
        <w:t>python3 tests/test_llm.py           # model connectivity</w:t>
        <w:br/>
        <w:t>python3 tests/run_golden.py         # full 32-answer regression (~30-45 min)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demo concept page (ai-coach/demo/index.html) shows the intended UX without any backend.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9. What Is Next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Public demo: </w:t>
      </w:r>
      <w:r>
        <w:rPr>
          <w:rFonts w:ascii="Calibri" w:hAnsi="Calibri"/>
          <w:sz w:val="22"/>
        </w:rPr>
        <w:t>Live now via a Cloudflare Tunnel (see 'Try It Live'). Optional upgrade: a permanent host (e.g. HF Spaces PRO or Render) so the demo is online without the laptop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Report feedback: </w:t>
      </w:r>
      <w:r>
        <w:rPr>
          <w:rFonts w:ascii="Calibri" w:hAnsi="Calibri"/>
          <w:sz w:val="22"/>
        </w:rPr>
        <w:t>Workflow 2 (report generation from spreadsheets) on the second graph slot in the architecture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Coaching chat: </w:t>
      </w:r>
      <w:r>
        <w:rPr>
          <w:rFonts w:ascii="Calibri" w:hAnsi="Calibri"/>
          <w:sz w:val="22"/>
        </w:rPr>
        <w:t>Follow-up chat so a student can ask 'why did I lose the mark?' - the real-time coach experience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Handwritten answers: </w:t>
      </w:r>
      <w:r>
        <w:rPr>
          <w:rFonts w:ascii="Calibri" w:hAnsi="Calibri"/>
          <w:sz w:val="22"/>
        </w:rPr>
        <w:t>Photo upload with DeepSeek's vision model (deepseek-v4-flash-vision-exp exists on our key) or a local vision model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Model swap demo: </w:t>
      </w:r>
      <w:r>
        <w:rPr>
          <w:rFonts w:ascii="Calibri" w:hAnsi="Calibri"/>
          <w:sz w:val="22"/>
        </w:rPr>
        <w:t>Gemini free tier / local Ollama swap to tell the open-weight story in the pitch</w:t>
      </w:r>
    </w:p>
    <w:p>
      <w:pPr>
        <w:spacing w:line="276" w:lineRule="auto" w:after="60"/>
        <w:ind w:left="340"/>
      </w:pPr>
      <w:r>
        <w:rPr>
          <w:rFonts w:ascii="Calibri" w:hAnsi="Calibri"/>
          <w:b/>
          <w:sz w:val="22"/>
        </w:rPr>
        <w:t xml:space="preserve">Fine-tuning: </w:t>
      </w:r>
      <w:r>
        <w:rPr>
          <w:rFonts w:ascii="Calibri" w:hAnsi="Calibri"/>
          <w:sz w:val="22"/>
        </w:rPr>
        <w:t>Roadmap in section 4.7: grow the Golden Set to ~300 labels, LoRA-fine-tune a small open-weight Marker, keep the cloud Verifier as auditor, and run fully offline</w:t>
      </w:r>
    </w:p>
    <w:p>
      <w:pPr>
        <w:spacing w:before="320" w:after="120"/>
      </w:pPr>
      <w:r>
        <w:rPr>
          <w:rFonts w:ascii="Calibri" w:hAnsi="Calibri"/>
          <w:b/>
          <w:color w:val="1F4E79"/>
          <w:sz w:val="32"/>
        </w:rPr>
        <w:t>Appendix A - Data Sources</w:t>
      </w:r>
    </w:p>
    <w:p>
      <w:pPr>
        <w:spacing w:line="276" w:lineRule="auto" w:after="60"/>
        <w:ind w:left="340"/>
      </w:pPr>
      <w:r>
        <w:rPr>
          <w:rFonts w:ascii="Calibri" w:hAnsi="Calibri"/>
          <w:sz w:val="22"/>
        </w:rPr>
        <w:t>2025 HSC Enterprise Computing marking guidelines: nsw.gov.au (33 pages, downloaded 2026-09-02)</w:t>
      </w:r>
    </w:p>
    <w:p>
      <w:pPr>
        <w:spacing w:line="276" w:lineRule="auto" w:after="60"/>
        <w:ind w:left="340"/>
      </w:pPr>
      <w:r>
        <w:rPr>
          <w:rFonts w:ascii="Calibri" w:hAnsi="Calibri"/>
          <w:sz w:val="22"/>
        </w:rPr>
        <w:t>2025 HSC full-mark sample responses: nsw.gov.au (11 pages)</w:t>
      </w:r>
    </w:p>
    <w:p>
      <w:pPr>
        <w:spacing w:line="276" w:lineRule="auto" w:after="60"/>
        <w:ind w:left="340"/>
      </w:pPr>
      <w:r>
        <w:rPr>
          <w:rFonts w:ascii="Calibri" w:hAnsi="Calibri"/>
          <w:sz w:val="22"/>
        </w:rPr>
        <w:t>Question stems: official online exam system fam.hsconline.nesa.nsw.edu.au</w:t>
      </w:r>
    </w:p>
    <w:p>
      <w:pPr>
        <w:spacing w:line="276" w:lineRule="auto" w:after="60"/>
        <w:ind w:left="340"/>
      </w:pPr>
      <w:r>
        <w:rPr>
          <w:rFonts w:ascii="Calibri" w:hAnsi="Calibri"/>
          <w:sz w:val="22"/>
        </w:rPr>
        <w:t>4x NESA Teacher Support Resources (Year 12: data science, data visualisation, enterprise project, intelligent systems) - shared by the team</w:t>
      </w:r>
    </w:p>
    <w:p>
      <w:pPr>
        <w:spacing w:line="276" w:lineRule="auto" w:after="60"/>
        <w:ind w:left="340"/>
      </w:pPr>
      <w:r>
        <w:rPr>
          <w:rFonts w:ascii="Calibri" w:hAnsi="Calibri"/>
          <w:sz w:val="22"/>
        </w:rPr>
        <w:t>All artifacts live in /home/gaogao/workspace/ai-coach/ with raw source files kept under raw/ for traceability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vincial-sticks-currency-eng.trycloudflare.com" TargetMode="External"/><Relationship Id="rId10" Type="http://schemas.openxmlformats.org/officeDocument/2006/relationships/hyperlink" Target="https://12345666ddwa.github.io/coachai-mvp/" TargetMode="External"/><Relationship Id="rId11" Type="http://schemas.openxmlformats.org/officeDocument/2006/relationships/hyperlink" Target="https://github.com/12345666ddwa/coachai-mv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