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F4E79"/>
          <w:sz w:val="68"/>
        </w:rPr>
        <w:t>CoachAI</w:t>
      </w:r>
    </w:p>
    <w:p>
      <w:pPr>
        <w:jc w:val="center"/>
      </w:pPr>
      <w:r>
        <w:rPr>
          <w:rFonts w:ascii="Calibri" w:hAnsi="Calibri"/>
          <w:sz w:val="32"/>
        </w:rPr>
        <w:t>AI Real-Time Coach for HSC Enterprise Computing</w:t>
      </w:r>
    </w:p>
    <w:p/>
    <w:p>
      <w:pPr>
        <w:jc w:val="center"/>
      </w:pPr>
      <w:r>
        <w:rPr>
          <w:rFonts w:ascii="Calibri" w:hAnsi="Calibri"/>
          <w:sz w:val="24"/>
        </w:rPr>
        <w:t>Project Progress &amp; Technical Report</w:t>
      </w:r>
    </w:p>
    <w:p>
      <w:pPr>
        <w:jc w:val="center"/>
      </w:pPr>
      <w:r>
        <w:rPr>
          <w:rFonts w:ascii="Calibri" w:hAnsi="Calibri"/>
          <w:sz w:val="22"/>
        </w:rPr>
      </w:r>
    </w:p>
    <w:p>
      <w:pPr>
        <w:jc w:val="center"/>
      </w:pPr>
      <w:r>
        <w:rPr>
          <w:rFonts w:ascii="Calibri" w:hAnsi="Calibri"/>
          <w:sz w:val="24"/>
        </w:rPr>
        <w:t>Team iSoft AI Innovation</w:t>
      </w:r>
    </w:p>
    <w:p>
      <w:pPr>
        <w:jc w:val="center"/>
      </w:pPr>
      <w:r>
        <w:rPr>
          <w:rFonts w:ascii="Calibri" w:hAnsi="Calibri"/>
          <w:sz w:val="24"/>
        </w:rPr>
        <w:t>Prepared by: Xing (new member) | 2 September 2026</w:t>
      </w:r>
    </w:p>
    <w:p>
      <w:pPr>
        <w:jc w:val="center"/>
      </w:pPr>
      <w:r>
        <w:rPr>
          <w:rFonts w:ascii="Calibri" w:hAnsi="Calibri"/>
          <w:sz w:val="24"/>
        </w:rPr>
        <w:t>Version 1.0</w:t>
      </w:r>
    </w:p>
    <w:p>
      <w:r>
        <w:br w:type="page"/>
      </w:r>
    </w:p>
    <w:p>
      <w:pPr>
        <w:spacing w:before="320" w:after="120"/>
      </w:pPr>
      <w:r>
        <w:rPr>
          <w:rFonts w:ascii="Calibri" w:hAnsi="Calibri"/>
          <w:b/>
          <w:color w:val="1F4E79"/>
          <w:sz w:val="32"/>
        </w:rPr>
        <w:t>Try It Live</w:t>
      </w:r>
    </w:p>
    <w:p>
      <w:pPr>
        <w:spacing w:line="276" w:lineRule="auto" w:after="120"/>
      </w:pPr>
      <w:r>
        <w:rPr>
          <w:rFonts w:ascii="Calibri" w:hAnsi="Calibri"/>
          <w:sz w:val="22"/>
        </w:rPr>
        <w:t>Two working demos accompany this report. Open them on any phone.</w:t>
      </w:r>
    </w:p>
    <w:p>
      <w:pPr>
        <w:spacing w:after="40"/>
      </w:pPr>
      <w:r>
        <w:rPr>
          <w:rFonts w:ascii="Calibri" w:hAnsi="Calibri"/>
          <w:b/>
          <w:sz w:val="22"/>
        </w:rPr>
        <w:t xml:space="preserve">1) Live AI marking demo (real engine, real answers): </w:t>
      </w:r>
      <w:hyperlink r:id="rId9">
        <w:r>
          <w:rPr>
            <w:rFonts w:ascii="Calibri" w:hAnsi="Calibri"/>
            <w:color w:val="0563C1"/>
            <w:u w:val="single"/>
            <w:sz w:val="22"/>
          </w:rPr>
          <w:t>https://pci-wav-hardwood-fix.trycloudflare.com</w:t>
        </w:r>
      </w:hyperlink>
    </w:p>
    <w:p>
      <w:pPr>
        <w:spacing w:line="276" w:lineRule="auto" w:after="120"/>
      </w:pPr>
      <w:r>
        <w:rPr>
          <w:rFonts w:ascii="Calibri" w:hAnsi="Calibri"/>
          <w:sz w:val="20"/>
        </w:rPr>
        <w:t>This is the real pipeline: choose a 2025 HSC question, type or load a sample answer, and the Marker + Verifier engine grades it against the official rubric (30-60 s per answer). Note: it is served from the team laptop via a temporary tunnel, so it is online whenever the laptop is running. If the link stops working, ask Xing to restart the tunnel.</w:t>
      </w:r>
    </w:p>
    <w:p>
      <w:pPr>
        <w:spacing w:after="40" w:before="200"/>
      </w:pPr>
      <w:r>
        <w:rPr>
          <w:rFonts w:ascii="Calibri" w:hAnsi="Calibri"/>
          <w:b/>
          <w:sz w:val="22"/>
        </w:rPr>
        <w:t xml:space="preserve">2) Concept demo (static, always online): </w:t>
      </w:r>
      <w:hyperlink r:id="rId10">
        <w:r>
          <w:rPr>
            <w:rFonts w:ascii="Calibri" w:hAnsi="Calibri"/>
            <w:color w:val="0563C1"/>
            <w:u w:val="single"/>
            <w:sz w:val="22"/>
          </w:rPr>
          <w:t>https://12345666ddwa.github.io/coachai-mvp/</w:t>
        </w:r>
      </w:hyperlink>
    </w:p>
    <w:p>
      <w:pPr>
        <w:spacing w:line="276" w:lineRule="auto" w:after="120"/>
      </w:pPr>
      <w:r>
        <w:rPr>
          <w:rFonts w:ascii="Calibri" w:hAnsi="Calibri"/>
          <w:sz w:val="20"/>
        </w:rPr>
        <w:t>The design mock-up of the intended user experience - no backend, instant, phone-friendly. Good for showing the UX flow before touching the live engine.</w:t>
      </w:r>
    </w:p>
    <w:p>
      <w:pPr>
        <w:spacing w:after="40" w:before="200"/>
      </w:pPr>
      <w:r>
        <w:rPr>
          <w:rFonts w:ascii="Calibri" w:hAnsi="Calibri"/>
          <w:b/>
          <w:sz w:val="22"/>
        </w:rPr>
        <w:t xml:space="preserve">3) Source code and this report: </w:t>
      </w:r>
      <w:hyperlink r:id="rId11">
        <w:r>
          <w:rPr>
            <w:rFonts w:ascii="Calibri" w:hAnsi="Calibri"/>
            <w:color w:val="0563C1"/>
            <w:u w:val="single"/>
            <w:sz w:val="22"/>
          </w:rPr>
          <w:t>https://github.com/12345666ddwa/coachai-mvp</w:t>
        </w:r>
      </w:hyperlink>
    </w:p>
    <w:p>
      <w:pPr>
        <w:spacing w:line="276" w:lineRule="auto" w:after="120"/>
      </w:pPr>
      <w:r>
        <w:rPr>
          <w:rFonts w:ascii="Calibri" w:hAnsi="Calibri"/>
          <w:sz w:val="20"/>
        </w:rPr>
        <w:t>Full repository (code, question bank, RAG index script, Golden Set, figures).</w:t>
      </w:r>
    </w:p>
    <w:p>
      <w:r>
        <w:br w:type="page"/>
      </w:r>
    </w:p>
    <w:p>
      <w:pPr>
        <w:spacing w:before="320" w:after="120"/>
      </w:pPr>
      <w:r>
        <w:rPr>
          <w:rFonts w:ascii="Calibri" w:hAnsi="Calibri"/>
          <w:b/>
          <w:color w:val="1F4E79"/>
          <w:sz w:val="32"/>
        </w:rPr>
        <w:t>1. Executive Summary</w:t>
      </w:r>
    </w:p>
    <w:p>
      <w:pPr>
        <w:spacing w:line="276" w:lineRule="auto" w:after="120"/>
      </w:pPr>
      <w:r>
        <w:rPr>
          <w:rFonts w:ascii="Calibri" w:hAnsi="Calibri"/>
          <w:sz w:val="22"/>
        </w:rPr>
        <w:t>This report documents everything the team has produced since Xing joined: the architecture, the working codebase, the verification methodology, and the measured results. The deliverable is a working proof of concept: an AI that marks HSC Enterprise Computing short answers against the official NESA marking guidelines, with confidence levels and teacher-in-the-loop review.</w:t>
      </w:r>
    </w:p>
    <w:p>
      <w:pPr>
        <w:spacing w:line="276" w:lineRule="auto" w:after="120"/>
      </w:pPr>
      <w:r>
        <w:rPr>
          <w:rFonts w:ascii="Calibri" w:hAnsi="Calibri"/>
          <w:sz w:val="22"/>
        </w:rPr>
        <w:t>Headline numbers: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fill="1F4E79"/>
          </w:tcPr>
          <w:p>
            <w:pPr>
              <w:spacing w:after="40" w:before="40"/>
            </w:pPr>
            <w:r/>
            <w:r>
              <w:rPr>
                <w:rFonts w:ascii="Calibri" w:hAnsi="Calibri"/>
                <w:b/>
                <w:color w:val="FFFFFF"/>
                <w:sz w:val="20"/>
              </w:rPr>
              <w:t>Asset</w:t>
            </w:r>
          </w:p>
        </w:tc>
        <w:tc>
          <w:tcPr>
            <w:tcW w:type="dxa" w:w="1134"/>
            <w:shd w:fill="1F4E79"/>
          </w:tcPr>
          <w:p>
            <w:pPr>
              <w:spacing w:after="40" w:before="40"/>
            </w:pPr>
            <w:r/>
            <w:r>
              <w:rPr>
                <w:rFonts w:ascii="Calibri" w:hAnsi="Calibri"/>
                <w:b/>
                <w:color w:val="FFFFFF"/>
                <w:sz w:val="20"/>
              </w:rPr>
              <w:t>Status</w:t>
            </w:r>
          </w:p>
        </w:tc>
        <w:tc>
          <w:tcPr>
            <w:tcW w:type="dxa" w:w="5669"/>
            <w:shd w:fill="1F4E79"/>
          </w:tcPr>
          <w:p>
            <w:pPr>
              <w:spacing w:after="40" w:before="40"/>
            </w:pPr>
            <w:r/>
            <w:r>
              <w:rPr>
                <w:rFonts w:ascii="Calibri" w:hAnsi="Calibri"/>
                <w:b/>
                <w:color w:val="FFFFFF"/>
                <w:sz w:val="20"/>
              </w:rPr>
              <w:t>Detail</w:t>
            </w:r>
          </w:p>
        </w:tc>
      </w:tr>
      <w:tr>
        <w:tc>
          <w:tcPr>
            <w:tcW w:type="dxa" w:w="2268"/>
            <w:shd w:fill="F2F6FA"/>
          </w:tcPr>
          <w:p>
            <w:pPr>
              <w:spacing w:after="40" w:before="40"/>
            </w:pPr>
            <w:r/>
            <w:r>
              <w:rPr>
                <w:rFonts w:ascii="Calibri" w:hAnsi="Calibri"/>
                <w:b w:val="0"/>
                <w:sz w:val="20"/>
              </w:rPr>
              <w:t>Question bank</w:t>
            </w:r>
          </w:p>
        </w:tc>
        <w:tc>
          <w:tcPr>
            <w:tcW w:type="dxa" w:w="1134"/>
            <w:shd w:fill="F2F6FA"/>
          </w:tcPr>
          <w:p>
            <w:pPr>
              <w:spacing w:after="40" w:before="40"/>
            </w:pPr>
            <w:r/>
            <w:r>
              <w:rPr>
                <w:rFonts w:ascii="Calibri" w:hAnsi="Calibri"/>
                <w:b w:val="0"/>
                <w:sz w:val="20"/>
              </w:rPr>
              <w:t>Done</w:t>
            </w:r>
          </w:p>
        </w:tc>
        <w:tc>
          <w:tcPr>
            <w:tcW w:type="dxa" w:w="5669"/>
            <w:shd w:fill="F2F6FA"/>
          </w:tcPr>
          <w:p>
            <w:pPr>
              <w:spacing w:after="40" w:before="40"/>
            </w:pPr>
            <w:r/>
            <w:r>
              <w:rPr>
                <w:rFonts w:ascii="Calibri" w:hAnsi="Calibri"/>
                <w:b w:val="0"/>
                <w:sz w:val="20"/>
              </w:rPr>
              <w:t>18 questions from the 2025 HSC Enterprise Computing exam (the subject's first-ever HSC paper), with official marking guidelines transcribed verbatim from the NESA marking guidelines PDF</w:t>
            </w:r>
          </w:p>
        </w:tc>
      </w:tr>
      <w:tr>
        <w:tc>
          <w:tcPr>
            <w:tcW w:type="dxa" w:w="2268"/>
          </w:tcPr>
          <w:p>
            <w:pPr>
              <w:spacing w:after="40" w:before="40"/>
            </w:pPr>
            <w:r/>
            <w:r>
              <w:rPr>
                <w:rFonts w:ascii="Calibri" w:hAnsi="Calibri"/>
                <w:b w:val="0"/>
                <w:sz w:val="20"/>
              </w:rPr>
              <w:t>RAG knowledge base</w:t>
            </w:r>
          </w:p>
        </w:tc>
        <w:tc>
          <w:tcPr>
            <w:tcW w:type="dxa" w:w="1134"/>
          </w:tcPr>
          <w:p>
            <w:pPr>
              <w:spacing w:after="40" w:before="40"/>
            </w:pPr>
            <w:r/>
            <w:r>
              <w:rPr>
                <w:rFonts w:ascii="Calibri" w:hAnsi="Calibri"/>
                <w:b w:val="0"/>
                <w:sz w:val="20"/>
              </w:rPr>
              <w:t>Done</w:t>
            </w:r>
          </w:p>
        </w:tc>
        <w:tc>
          <w:tcPr>
            <w:tcW w:type="dxa" w:w="5669"/>
          </w:tcPr>
          <w:p>
            <w:pPr>
              <w:spacing w:after="40" w:before="40"/>
            </w:pPr>
            <w:r/>
            <w:r>
              <w:rPr>
                <w:rFonts w:ascii="Calibri" w:hAnsi="Calibri"/>
                <w:b w:val="0"/>
                <w:sz w:val="20"/>
              </w:rPr>
              <w:t>4 official NESA Teacher Support Resources (Year 12 modules) indexed into Chroma: 1,046 chunks</w:t>
            </w:r>
          </w:p>
        </w:tc>
      </w:tr>
      <w:tr>
        <w:tc>
          <w:tcPr>
            <w:tcW w:type="dxa" w:w="2268"/>
            <w:shd w:fill="F2F6FA"/>
          </w:tcPr>
          <w:p>
            <w:pPr>
              <w:spacing w:after="40" w:before="40"/>
            </w:pPr>
            <w:r/>
            <w:r>
              <w:rPr>
                <w:rFonts w:ascii="Calibri" w:hAnsi="Calibri"/>
                <w:b w:val="0"/>
                <w:sz w:val="20"/>
              </w:rPr>
              <w:t>Marking engine</w:t>
            </w:r>
          </w:p>
        </w:tc>
        <w:tc>
          <w:tcPr>
            <w:tcW w:type="dxa" w:w="1134"/>
            <w:shd w:fill="F2F6FA"/>
          </w:tcPr>
          <w:p>
            <w:pPr>
              <w:spacing w:after="40" w:before="40"/>
            </w:pPr>
            <w:r/>
            <w:r>
              <w:rPr>
                <w:rFonts w:ascii="Calibri" w:hAnsi="Calibri"/>
                <w:b w:val="0"/>
                <w:sz w:val="20"/>
              </w:rPr>
              <w:t>Done</w:t>
            </w:r>
          </w:p>
        </w:tc>
        <w:tc>
          <w:tcPr>
            <w:tcW w:type="dxa" w:w="5669"/>
            <w:shd w:fill="F2F6FA"/>
          </w:tcPr>
          <w:p>
            <w:pPr>
              <w:spacing w:after="40" w:before="40"/>
            </w:pPr>
            <w:r/>
            <w:r>
              <w:rPr>
                <w:rFonts w:ascii="Calibri" w:hAnsi="Calibri"/>
                <w:b w:val="0"/>
                <w:sz w:val="20"/>
              </w:rPr>
              <w:t>LangGraph state machine: Marker Agent + Verifier Agent + RAG retrieval + confidence blending + retry loop</w:t>
            </w:r>
          </w:p>
        </w:tc>
      </w:tr>
      <w:tr>
        <w:tc>
          <w:tcPr>
            <w:tcW w:type="dxa" w:w="2268"/>
          </w:tcPr>
          <w:p>
            <w:pPr>
              <w:spacing w:after="40" w:before="40"/>
            </w:pPr>
            <w:r/>
            <w:r>
              <w:rPr>
                <w:rFonts w:ascii="Calibri" w:hAnsi="Calibri"/>
                <w:b w:val="0"/>
                <w:sz w:val="20"/>
              </w:rPr>
              <w:t>Model abstraction</w:t>
            </w:r>
          </w:p>
        </w:tc>
        <w:tc>
          <w:tcPr>
            <w:tcW w:type="dxa" w:w="1134"/>
          </w:tcPr>
          <w:p>
            <w:pPr>
              <w:spacing w:after="40" w:before="40"/>
            </w:pPr>
            <w:r/>
            <w:r>
              <w:rPr>
                <w:rFonts w:ascii="Calibri" w:hAnsi="Calibri"/>
                <w:b w:val="0"/>
                <w:sz w:val="20"/>
              </w:rPr>
              <w:t>Done</w:t>
            </w:r>
          </w:p>
        </w:tc>
        <w:tc>
          <w:tcPr>
            <w:tcW w:type="dxa" w:w="5669"/>
          </w:tcPr>
          <w:p>
            <w:pPr>
              <w:spacing w:after="40" w:before="40"/>
            </w:pPr>
            <w:r/>
            <w:r>
              <w:rPr>
                <w:rFonts w:ascii="Calibri" w:hAnsi="Calibri"/>
                <w:b w:val="0"/>
                <w:sz w:val="20"/>
              </w:rPr>
              <w:t>One config line swaps the LLM provider (DeepSeek active now; Gemini free tier / local Ollama ready)</w:t>
            </w:r>
          </w:p>
        </w:tc>
      </w:tr>
      <w:tr>
        <w:tc>
          <w:tcPr>
            <w:tcW w:type="dxa" w:w="2268"/>
            <w:shd w:fill="F2F6FA"/>
          </w:tcPr>
          <w:p>
            <w:pPr>
              <w:spacing w:after="40" w:before="40"/>
            </w:pPr>
            <w:r/>
            <w:r>
              <w:rPr>
                <w:rFonts w:ascii="Calibri" w:hAnsi="Calibri"/>
                <w:b w:val="0"/>
                <w:sz w:val="20"/>
              </w:rPr>
              <w:t>Frontend</w:t>
            </w:r>
          </w:p>
        </w:tc>
        <w:tc>
          <w:tcPr>
            <w:tcW w:type="dxa" w:w="1134"/>
            <w:shd w:fill="F2F6FA"/>
          </w:tcPr>
          <w:p>
            <w:pPr>
              <w:spacing w:after="40" w:before="40"/>
            </w:pPr>
            <w:r/>
            <w:r>
              <w:rPr>
                <w:rFonts w:ascii="Calibri" w:hAnsi="Calibri"/>
                <w:b w:val="0"/>
                <w:sz w:val="20"/>
              </w:rPr>
              <w:t>Done</w:t>
            </w:r>
          </w:p>
        </w:tc>
        <w:tc>
          <w:tcPr>
            <w:tcW w:type="dxa" w:w="5669"/>
            <w:shd w:fill="F2F6FA"/>
          </w:tcPr>
          <w:p>
            <w:pPr>
              <w:spacing w:after="40" w:before="40"/>
            </w:pPr>
            <w:r/>
            <w:r>
              <w:rPr>
                <w:rFonts w:ascii="Calibri" w:hAnsi="Calibri"/>
                <w:b w:val="0"/>
                <w:sz w:val="20"/>
              </w:rPr>
              <w:t>Gradio app (phone-friendly, EN/CN toggle) with a live public demo link (Cloudflare Tunnel); see 'Try It Live' on the next page</w:t>
            </w:r>
          </w:p>
        </w:tc>
      </w:tr>
      <w:tr>
        <w:tc>
          <w:tcPr>
            <w:tcW w:type="dxa" w:w="2268"/>
          </w:tcPr>
          <w:p>
            <w:pPr>
              <w:spacing w:after="40" w:before="40"/>
            </w:pPr>
            <w:r/>
            <w:r>
              <w:rPr>
                <w:rFonts w:ascii="Calibri" w:hAnsi="Calibri"/>
                <w:b w:val="0"/>
                <w:sz w:val="20"/>
              </w:rPr>
              <w:t>Verification</w:t>
            </w:r>
          </w:p>
        </w:tc>
        <w:tc>
          <w:tcPr>
            <w:tcW w:type="dxa" w:w="1134"/>
          </w:tcPr>
          <w:p>
            <w:pPr>
              <w:spacing w:after="40" w:before="40"/>
            </w:pPr>
            <w:r/>
            <w:r>
              <w:rPr>
                <w:rFonts w:ascii="Calibri" w:hAnsi="Calibri"/>
                <w:b w:val="0"/>
                <w:sz w:val="20"/>
              </w:rPr>
              <w:t>Done</w:t>
            </w:r>
          </w:p>
        </w:tc>
        <w:tc>
          <w:tcPr>
            <w:tcW w:type="dxa" w:w="5669"/>
          </w:tcPr>
          <w:p>
            <w:pPr>
              <w:spacing w:after="40" w:before="40"/>
            </w:pPr>
            <w:r/>
            <w:r>
              <w:rPr>
                <w:rFonts w:ascii="Calibri" w:hAnsi="Calibri"/>
                <w:b w:val="0"/>
                <w:sz w:val="20"/>
              </w:rPr>
              <w:t>Golden Set: 32 simulated answers (8 questions x 4 quality bands), expected marks from official rubric</w:t>
            </w:r>
          </w:p>
        </w:tc>
      </w:tr>
      <w:tr>
        <w:tc>
          <w:tcPr>
            <w:tcW w:type="dxa" w:w="2268"/>
            <w:shd w:fill="F2F6FA"/>
          </w:tcPr>
          <w:p>
            <w:pPr>
              <w:spacing w:after="40" w:before="40"/>
            </w:pPr>
            <w:r/>
            <w:r>
              <w:rPr>
                <w:rFonts w:ascii="Calibri" w:hAnsi="Calibri"/>
                <w:b w:val="0"/>
                <w:sz w:val="20"/>
              </w:rPr>
              <w:t>Verification result</w:t>
            </w:r>
          </w:p>
        </w:tc>
        <w:tc>
          <w:tcPr>
            <w:tcW w:type="dxa" w:w="1134"/>
            <w:shd w:fill="F2F6FA"/>
          </w:tcPr>
          <w:p>
            <w:pPr>
              <w:spacing w:after="40" w:before="40"/>
            </w:pPr>
            <w:r/>
            <w:r>
              <w:rPr>
                <w:rFonts w:ascii="Calibri" w:hAnsi="Calibri"/>
                <w:b w:val="0"/>
                <w:sz w:val="20"/>
              </w:rPr>
              <w:t>Measured</w:t>
            </w:r>
          </w:p>
        </w:tc>
        <w:tc>
          <w:tcPr>
            <w:tcW w:type="dxa" w:w="5669"/>
            <w:shd w:fill="F2F6FA"/>
          </w:tcPr>
          <w:p>
            <w:pPr>
              <w:spacing w:after="40" w:before="40"/>
            </w:pPr>
            <w:r/>
            <w:r>
              <w:rPr>
                <w:rFonts w:ascii="Calibri" w:hAnsi="Calibri"/>
                <w:b w:val="0"/>
                <w:sz w:val="20"/>
              </w:rPr>
              <w:t>Three full runs: 100% within +/-1 band and zero wild misses in every run; exact match 75-78% (78.1%% baseline; 75.0%% in the two most recent runs), varying only on borderline answers</w:t>
            </w:r>
          </w:p>
        </w:tc>
      </w:tr>
    </w:tbl>
    <w:p/>
    <w:p>
      <w:pPr>
        <w:spacing w:before="320" w:after="120"/>
      </w:pPr>
      <w:r>
        <w:rPr>
          <w:rFonts w:ascii="Calibri" w:hAnsi="Calibri"/>
          <w:b/>
          <w:color w:val="1F4E79"/>
          <w:sz w:val="32"/>
        </w:rPr>
        <w:t>2. What We Built (System Overview)</w:t>
      </w:r>
    </w:p>
    <w:p>
      <w:pPr>
        <w:spacing w:line="276" w:lineRule="auto" w:after="120"/>
      </w:pPr>
      <w:r>
        <w:rPr>
          <w:rFonts w:ascii="Calibri" w:hAnsi="Calibri"/>
          <w:sz w:val="22"/>
        </w:rPr>
        <w:t>The system follows our chosen architecture from the team document: NESA materials are the single source of truth; two LangGraph workflows share a RAG knowledge base; every LLM call goes through one abstraction layer; students and teachers interact through a mobile-friendly web UI.</w:t>
      </w:r>
    </w:p>
    <w:p>
      <w:pPr>
        <w:jc w:val="center"/>
      </w:pPr>
      <w:r>
        <w:drawing>
          <wp:inline xmlns:a="http://schemas.openxmlformats.org/drawingml/2006/main" xmlns:pic="http://schemas.openxmlformats.org/drawingml/2006/picture">
            <wp:extent cx="5669280" cy="3641105"/>
            <wp:docPr id="1" name="Pict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669280" cy="3641105"/>
                    </a:xfrm>
                    <a:prstGeom prst="rect"/>
                  </pic:spPr>
                </pic:pic>
              </a:graphicData>
            </a:graphic>
          </wp:inline>
        </w:drawing>
      </w:r>
    </w:p>
    <w:p>
      <w:pPr>
        <w:jc w:val="center"/>
      </w:pPr>
      <w:r>
        <w:rPr>
          <w:rFonts w:ascii="Calibri" w:hAnsi="Calibri"/>
          <w:i/>
          <w:color w:val="6B7684"/>
          <w:sz w:val="18"/>
        </w:rPr>
        <w:t>Figure 1 - System architecture overview</w:t>
      </w:r>
    </w:p>
    <w:p>
      <w:pPr>
        <w:spacing w:before="320" w:after="120"/>
      </w:pPr>
      <w:r>
        <w:rPr>
          <w:rFonts w:ascii="Calibri" w:hAnsi="Calibri"/>
          <w:b/>
          <w:color w:val="1F4E79"/>
          <w:sz w:val="32"/>
        </w:rPr>
        <w:t>3. Codebase Map</w:t>
      </w:r>
    </w:p>
    <w:p>
      <w:pPr>
        <w:spacing w:line="240" w:lineRule="auto" w:after="80"/>
      </w:pPr>
      <w:r>
        <w:rPr>
          <w:rFonts w:ascii="Consolas" w:hAnsi="Consolas"/>
          <w:color w:val="2D2D2D"/>
          <w:sz w:val="18"/>
        </w:rPr>
        <w:t>ai-coach/</w:t>
        <w:br/>
        <w:t>|-- app.py                  # Gradio UI (question picker, answer input, results)</w:t>
        <w:br/>
        <w:t>|-- agents/</w:t>
        <w:br/>
        <w:t>|   |-- models.py           # Model abstraction layer - complete() is the ONLY LLM entry point</w:t>
        <w:br/>
        <w:t>|   |-- marker.py           # Marker Agent: HSC teacher role, T=0.5, provisional marks + feedback</w:t>
        <w:br/>
        <w:t>|   `-- verifier.py         # Verifier Agent: NESA QA auditor role, T=0.2, audit + confidence</w:t>
        <w:br/>
        <w:t>|-- graphs/</w:t>
        <w:br/>
        <w:t>|   `-- mark_graph.py       # LangGraph state machine (Workflow 1) + mark_answer() public API</w:t>
        <w:br/>
        <w:t>|-- rag/</w:t>
        <w:br/>
        <w:t>|   |-- indexer.py          # TSR docx -&gt; chunks -&gt; Chroma (1,046 chunks, MiniLM-L6-v2)</w:t>
        <w:br/>
        <w:t>|   `-- retriever.py        # search(query, k, topic) used by the graph's retrieve node</w:t>
        <w:br/>
        <w:t>|-- data/</w:t>
        <w:br/>
        <w:t>|   |-- questions.json      # 18-question bank with official marking guidelines</w:t>
        <w:br/>
        <w:t>|   `-- chroma_db/          # persistent vector store</w:t>
        <w:br/>
        <w:t>|-- tests/</w:t>
        <w:br/>
        <w:t>|   |-- golden_set.json     # 32 answers with expected marks + justification</w:t>
        <w:br/>
        <w:t>|   |-- run_golden.py       # regression runner: AI mark vs expected mark</w:t>
        <w:br/>
        <w:t>|   |-- test_mark.py        # workflow smoke tests</w:t>
        <w:br/>
        <w:t>|   `-- test_llm.py         # model connectivity test</w:t>
        <w:br/>
        <w:t>|-- raw/                    # source PDFs + extracted text (2025 HSC MG, full-mark samples)</w:t>
        <w:br/>
        <w:t>`-- docs/figures/           # report figures</w:t>
      </w:r>
    </w:p>
    <w:p>
      <w:pPr>
        <w:spacing w:line="276" w:lineRule="auto" w:after="120"/>
      </w:pPr>
      <w:r>
        <w:rPr>
          <w:rFonts w:ascii="Calibri" w:hAnsi="Calibri"/>
          <w:sz w:val="22"/>
        </w:rPr>
        <w:t>The public contract used by the UI: mark_answer(question_id, student_answer) returns a dict with status (approved / flagged / error), marks, max_marks, confidence_pct, confidence_level, feedback items and flags. Errors never raise - they are returned as status=error so the UI can show a friendly message.</w:t>
      </w:r>
    </w:p>
    <w:p>
      <w:pPr>
        <w:spacing w:before="320" w:after="120"/>
      </w:pPr>
      <w:r>
        <w:rPr>
          <w:rFonts w:ascii="Calibri" w:hAnsi="Calibri"/>
          <w:b/>
          <w:color w:val="1F4E79"/>
          <w:sz w:val="32"/>
        </w:rPr>
        <w:t>4. Key Design Decisions</w:t>
      </w:r>
    </w:p>
    <w:p>
      <w:pPr>
        <w:spacing w:before="200" w:after="80"/>
      </w:pPr>
      <w:r>
        <w:rPr>
          <w:rFonts w:ascii="Calibri" w:hAnsi="Calibri"/>
          <w:b/>
          <w:sz w:val="26"/>
        </w:rPr>
        <w:t>4.1 Model abstraction - switching LLM providers costs nothing</w:t>
      </w:r>
    </w:p>
    <w:p>
      <w:pPr>
        <w:spacing w:line="276" w:lineRule="auto" w:after="120"/>
      </w:pPr>
      <w:r>
        <w:rPr>
          <w:rFonts w:ascii="Calibri" w:hAnsi="Calibri"/>
          <w:sz w:val="22"/>
        </w:rPr>
        <w:t>A recurring team concern was: if we start with one API and later move to another (e.g. Gemini free tier or a local open-weight model), do we redo everything? No. Every agent calls agents.models.complete() and nothing else. The provider is resolved from configuration.</w:t>
      </w:r>
    </w:p>
    <w:p>
      <w:pPr>
        <w:jc w:val="center"/>
      </w:pPr>
      <w:r>
        <w:drawing>
          <wp:inline xmlns:a="http://schemas.openxmlformats.org/drawingml/2006/main" xmlns:pic="http://schemas.openxmlformats.org/drawingml/2006/picture">
            <wp:extent cx="5303520" cy="3071055"/>
            <wp:docPr id="2" name="Picture 2"/>
            <wp:cNvGraphicFramePr>
              <a:graphicFrameLocks noChangeAspect="1"/>
            </wp:cNvGraphicFramePr>
            <a:graphic>
              <a:graphicData uri="http://schemas.openxmlformats.org/drawingml/2006/picture">
                <pic:pic>
                  <pic:nvPicPr>
                    <pic:cNvPr id="0" name="model_abstraction.png"/>
                    <pic:cNvPicPr/>
                  </pic:nvPicPr>
                  <pic:blipFill>
                    <a:blip r:embed="rId13"/>
                    <a:stretch>
                      <a:fillRect/>
                    </a:stretch>
                  </pic:blipFill>
                  <pic:spPr>
                    <a:xfrm>
                      <a:off x="0" y="0"/>
                      <a:ext cx="5303520" cy="3071055"/>
                    </a:xfrm>
                    <a:prstGeom prst="rect"/>
                  </pic:spPr>
                </pic:pic>
              </a:graphicData>
            </a:graphic>
          </wp:inline>
        </w:drawing>
      </w:r>
    </w:p>
    <w:p>
      <w:pPr>
        <w:jc w:val="center"/>
      </w:pPr>
      <w:r>
        <w:rPr>
          <w:rFonts w:ascii="Calibri" w:hAnsi="Calibri"/>
          <w:i/>
          <w:color w:val="6B7684"/>
          <w:sz w:val="18"/>
        </w:rPr>
        <w:t>Figure 2 - Model abstraction layer</w:t>
      </w:r>
    </w:p>
    <w:p>
      <w:pPr>
        <w:spacing w:line="276" w:lineRule="auto" w:after="120"/>
      </w:pPr>
      <w:r>
        <w:rPr>
          <w:rFonts w:ascii="Calibri" w:hAnsi="Calibri"/>
          <w:sz w:val="22"/>
        </w:rPr>
        <w:t>DeepSeek deepseek-v4-flash is active now (cheap, reliable, we already had a key). Gemini 3.5 Flash free tier and local Ollama are one-line additions when we need them.</w:t>
      </w:r>
    </w:p>
    <w:p>
      <w:pPr>
        <w:spacing w:before="200" w:after="80"/>
      </w:pPr>
      <w:r>
        <w:rPr>
          <w:rFonts w:ascii="Calibri" w:hAnsi="Calibri"/>
          <w:b/>
          <w:sz w:val="26"/>
        </w:rPr>
        <w:t>4.2 Two-agent marking engine (Workflow 1)</w:t>
      </w:r>
    </w:p>
    <w:p>
      <w:pPr>
        <w:spacing w:line="276" w:lineRule="auto" w:after="120"/>
      </w:pPr>
      <w:r>
        <w:rPr>
          <w:rFonts w:ascii="Calibri" w:hAnsi="Calibri"/>
          <w:sz w:val="22"/>
        </w:rPr>
        <w:t>The core pipeline implements the team's original design: a Marker grades generously with contextual interpretation (T=0.5); an independent Verifier audits sceptically (T=0.2) - recomputing the mark, hunting for hallucinated concepts against the retrieved syllabus material, and rejecting verdicts it does not agree with.</w:t>
      </w:r>
    </w:p>
    <w:p>
      <w:pPr>
        <w:jc w:val="center"/>
      </w:pPr>
      <w:r>
        <w:drawing>
          <wp:inline xmlns:a="http://schemas.openxmlformats.org/drawingml/2006/main" xmlns:pic="http://schemas.openxmlformats.org/drawingml/2006/picture">
            <wp:extent cx="5669280" cy="4227877"/>
            <wp:docPr id="3" name="Picture 3"/>
            <wp:cNvGraphicFramePr>
              <a:graphicFrameLocks noChangeAspect="1"/>
            </wp:cNvGraphicFramePr>
            <a:graphic>
              <a:graphicData uri="http://schemas.openxmlformats.org/drawingml/2006/picture">
                <pic:pic>
                  <pic:nvPicPr>
                    <pic:cNvPr id="0" name="workflow1.png"/>
                    <pic:cNvPicPr/>
                  </pic:nvPicPr>
                  <pic:blipFill>
                    <a:blip r:embed="rId14"/>
                    <a:stretch>
                      <a:fillRect/>
                    </a:stretch>
                  </pic:blipFill>
                  <pic:spPr>
                    <a:xfrm>
                      <a:off x="0" y="0"/>
                      <a:ext cx="5669280" cy="4227877"/>
                    </a:xfrm>
                    <a:prstGeom prst="rect"/>
                  </pic:spPr>
                </pic:pic>
              </a:graphicData>
            </a:graphic>
          </wp:inline>
        </w:drawing>
      </w:r>
    </w:p>
    <w:p>
      <w:pPr>
        <w:jc w:val="center"/>
      </w:pPr>
      <w:r>
        <w:rPr>
          <w:rFonts w:ascii="Calibri" w:hAnsi="Calibri"/>
          <w:i/>
          <w:color w:val="6B7684"/>
          <w:sz w:val="18"/>
        </w:rPr>
        <w:t>Figure 3 - Workflow 1: LangGraph state machine</w:t>
      </w:r>
    </w:p>
    <w:p>
      <w:pPr>
        <w:spacing w:before="200" w:after="80"/>
      </w:pPr>
      <w:r>
        <w:rPr>
          <w:rFonts w:ascii="Calibri" w:hAnsi="Calibri"/>
          <w:b/>
          <w:sz w:val="26"/>
        </w:rPr>
        <w:t>4.3 Confidence score - not a model guess</w:t>
      </w:r>
    </w:p>
    <w:p>
      <w:pPr>
        <w:spacing w:line="276" w:lineRule="auto" w:after="120"/>
      </w:pPr>
      <w:r>
        <w:rPr>
          <w:rFonts w:ascii="Calibri" w:hAnsi="Calibri"/>
          <w:sz w:val="22"/>
        </w:rPr>
        <w:t>The Verifier self-reports confidence, but we blend it with objective signals so the number is explainable and audit-friendly:</w:t>
      </w:r>
    </w:p>
    <w:p>
      <w:pPr>
        <w:spacing w:line="240" w:lineRule="auto" w:after="80"/>
      </w:pPr>
      <w:r>
        <w:rPr>
          <w:rFonts w:ascii="Consolas" w:hAnsi="Consolas"/>
          <w:color w:val="2D2D2D"/>
          <w:sz w:val="18"/>
        </w:rPr>
        <w:t>confidence = 0.6 x verifier_self_report</w:t>
        <w:br/>
        <w:t xml:space="preserve">          + 20 if marker and verifier marks agree</w:t>
        <w:br/>
        <w:t xml:space="preserve">          + 10 if they differ by exactly 1 band</w:t>
        <w:br/>
        <w:t xml:space="preserve">          + 10 if the verifier approved</w:t>
        <w:br/>
        <w:t>clamped to [25, 95]   (never 100%: a human always has the last word)</w:t>
      </w:r>
    </w:p>
    <w:p>
      <w:pPr>
        <w:spacing w:line="276" w:lineRule="auto" w:after="120"/>
      </w:pPr>
      <w:r>
        <w:rPr>
          <w:rFonts w:ascii="Calibri" w:hAnsi="Calibri"/>
          <w:sz w:val="22"/>
        </w:rPr>
        <w:t>Mapping: &gt;=80 high (auto-ship), 50-79 medium, &lt;50 low (flagged for teacher review).</w:t>
      </w:r>
    </w:p>
    <w:p>
      <w:pPr>
        <w:spacing w:before="200" w:after="80"/>
      </w:pPr>
      <w:r>
        <w:rPr>
          <w:rFonts w:ascii="Calibri" w:hAnsi="Calibri"/>
          <w:b/>
          <w:sz w:val="26"/>
        </w:rPr>
        <w:t>4.4 Retrieval-first RAG</w:t>
      </w:r>
    </w:p>
    <w:p>
      <w:pPr>
        <w:spacing w:line="276" w:lineRule="auto" w:after="120"/>
      </w:pPr>
      <w:r>
        <w:rPr>
          <w:rFonts w:ascii="Calibri" w:hAnsi="Calibri"/>
          <w:sz w:val="22"/>
        </w:rPr>
        <w:t>RAG retrieval runs BEFORE grading: the retrieved NESA syllabus chunks are injected into the Marker's prompt as grading context, not appended afterwards as an afterthought. Only official NESA material is indexed - this is our answer to the 'internet contradicts the course' problem.</w:t>
      </w:r>
    </w:p>
    <w:p>
      <w:pPr>
        <w:spacing w:before="200" w:after="80"/>
      </w:pPr>
      <w:r>
        <w:rPr>
          <w:rFonts w:ascii="Calibri" w:hAnsi="Calibri"/>
          <w:b/>
          <w:sz w:val="26"/>
        </w:rPr>
        <w:t>4.5 Retry loop with a hard cap</w:t>
      </w:r>
    </w:p>
    <w:p>
      <w:pPr>
        <w:spacing w:line="276" w:lineRule="auto" w:after="120"/>
      </w:pPr>
      <w:r>
        <w:rPr>
          <w:rFonts w:ascii="Calibri" w:hAnsi="Calibri"/>
          <w:sz w:val="22"/>
        </w:rPr>
        <w:t>When the Verifier rejects a verdict, the critique is fed back to the Marker for one re-grade round (max 2 rounds). If it still disagrees, the answer is flagged for a human teacher - no infinite loop, no wasted API budget.</w:t>
      </w:r>
    </w:p>
    <w:p>
      <w:pPr>
        <w:spacing w:before="200" w:after="80"/>
      </w:pPr>
      <w:r>
        <w:rPr>
          <w:rFonts w:ascii="Calibri" w:hAnsi="Calibri"/>
          <w:b/>
          <w:sz w:val="26"/>
        </w:rPr>
        <w:t>4.6 Model training data and fine-tuning (clarification)</w:t>
      </w:r>
    </w:p>
    <w:p>
      <w:pPr>
        <w:spacing w:line="276" w:lineRule="auto" w:after="120"/>
      </w:pPr>
      <w:r>
        <w:rPr>
          <w:rFonts w:ascii="Calibri" w:hAnsi="Calibri"/>
          <w:sz w:val="22"/>
        </w:rPr>
        <w:t>Question from the team: what was the model trained on? Clear answer: we do NOT fine-tune or train the model at all. The LLM is DeepSeek v4-flash, a general-purpose pretrained model - it has never seen our question bank or the HSC materials during training (0 epochs of fine-tuning, by design).</w:t>
      </w:r>
    </w:p>
    <w:p>
      <w:pPr>
        <w:spacing w:line="276" w:lineRule="auto" w:after="120"/>
      </w:pPr>
      <w:r>
        <w:rPr>
          <w:rFonts w:ascii="Calibri" w:hAnsi="Calibri"/>
          <w:sz w:val="22"/>
        </w:rPr>
        <w:t>All HSC-specific knowledge enters the system at inference time through two channels:</w:t>
      </w:r>
    </w:p>
    <w:p>
      <w:pPr>
        <w:spacing w:line="276" w:lineRule="auto" w:after="60"/>
        <w:ind w:left="340"/>
      </w:pPr>
      <w:r>
        <w:rPr>
          <w:rFonts w:ascii="Calibri" w:hAnsi="Calibri"/>
          <w:b/>
          <w:sz w:val="22"/>
        </w:rPr>
        <w:t xml:space="preserve">1) </w:t>
      </w:r>
      <w:r>
        <w:rPr>
          <w:rFonts w:ascii="Calibri" w:hAnsi="Calibri"/>
          <w:sz w:val="22"/>
        </w:rPr>
        <w:t>The question bank (data/questions.json): 18 real 2025 HSC questions with their official NESA marking guidelines, transcribed verbatim from the marking guidelines PDF</w:t>
      </w:r>
    </w:p>
    <w:p>
      <w:pPr>
        <w:spacing w:line="276" w:lineRule="auto" w:after="60"/>
        <w:ind w:left="340"/>
      </w:pPr>
      <w:r>
        <w:rPr>
          <w:rFonts w:ascii="Calibri" w:hAnsi="Calibri"/>
          <w:b/>
          <w:sz w:val="22"/>
        </w:rPr>
        <w:t xml:space="preserve">2) </w:t>
      </w:r>
      <w:r>
        <w:rPr>
          <w:rFonts w:ascii="Calibri" w:hAnsi="Calibri"/>
          <w:sz w:val="22"/>
        </w:rPr>
        <w:t>RAG retrieval: the 4 NESA Teacher Support Resources are indexed (1,046 chunks) and the relevant chunks are injected into the Marker's prompt for each answer. (So the system touches 5 official documents in total: the 4 TSRs plus the marking guidelines held in the question bank.)</w:t>
      </w:r>
    </w:p>
    <w:p>
      <w:pPr>
        <w:spacing w:line="276" w:lineRule="auto" w:after="120"/>
      </w:pPr>
      <w:r>
        <w:rPr>
          <w:rFonts w:ascii="Calibri" w:hAnsi="Calibri"/>
          <w:sz w:val="22"/>
        </w:rPr>
        <w:t>Why no fine-tuning in the MVP:</w:t>
      </w:r>
    </w:p>
    <w:p>
      <w:pPr>
        <w:spacing w:line="276" w:lineRule="auto" w:after="60"/>
        <w:ind w:left="340"/>
      </w:pPr>
      <w:r>
        <w:rPr>
          <w:rFonts w:ascii="Calibri" w:hAnsi="Calibri"/>
          <w:b/>
          <w:sz w:val="22"/>
        </w:rPr>
        <w:t xml:space="preserve">Evidence: </w:t>
      </w:r>
      <w:r>
        <w:rPr>
          <w:rFonts w:ascii="Calibri" w:hAnsi="Calibri"/>
          <w:sz w:val="22"/>
        </w:rPr>
        <w:t>Published evidence: open-weight LLMs prompted with rubric criteria grade competitively without fine-tuning (ACM 2025, Automatic Short Answer Grading with LLMs). Our own Golden Set result (100% within +/-1 band and zero misses on 32 answers, held across three full runs) confirms this holds for our pipeline.</w:t>
      </w:r>
    </w:p>
    <w:p>
      <w:pPr>
        <w:spacing w:line="276" w:lineRule="auto" w:after="60"/>
        <w:ind w:left="340"/>
      </w:pPr>
      <w:r>
        <w:rPr>
          <w:rFonts w:ascii="Calibri" w:hAnsi="Calibri"/>
          <w:b/>
          <w:sz w:val="22"/>
        </w:rPr>
        <w:t xml:space="preserve">Coverage: </w:t>
      </w:r>
      <w:r>
        <w:rPr>
          <w:rFonts w:ascii="Calibri" w:hAnsi="Calibri"/>
          <w:sz w:val="22"/>
        </w:rPr>
        <w:t>RAG already gives the model the exact official wording it needs at marking time - equivalent to 'looking up the syllabus' rather than memorising it.</w:t>
      </w:r>
    </w:p>
    <w:p>
      <w:pPr>
        <w:spacing w:line="276" w:lineRule="auto" w:after="60"/>
        <w:ind w:left="340"/>
      </w:pPr>
      <w:r>
        <w:rPr>
          <w:rFonts w:ascii="Calibri" w:hAnsi="Calibri"/>
          <w:b/>
          <w:sz w:val="22"/>
        </w:rPr>
        <w:t xml:space="preserve">Brief: </w:t>
      </w:r>
      <w:r>
        <w:rPr>
          <w:rFonts w:ascii="Calibri" w:hAnsi="Calibri"/>
          <w:sz w:val="22"/>
        </w:rPr>
        <w:t>The team's own planning note said 'potentially we will not even need to do any fine tuning and instead just the prompt' - we built exactly that and it works.</w:t>
      </w:r>
    </w:p>
    <w:p>
      <w:pPr>
        <w:spacing w:line="276" w:lineRule="auto" w:after="120"/>
      </w:pPr>
      <w:r>
        <w:rPr>
          <w:rFonts w:ascii="Calibri" w:hAnsi="Calibri"/>
          <w:sz w:val="22"/>
        </w:rPr>
        <w:t>If we later need fine-tuning (e.g. to run offline without retrieval, or to push accuracy higher), the 4 TSRs are the right training corpus - that is when 'fine-tuning on the 4 teacher support resources' becomes true. It is deliberately not done yet.</w:t>
      </w:r>
    </w:p>
    <w:p>
      <w:pPr>
        <w:spacing w:before="200" w:after="80"/>
      </w:pPr>
      <w:r>
        <w:rPr>
          <w:rFonts w:ascii="Calibri" w:hAnsi="Calibri"/>
          <w:b/>
          <w:sz w:val="26"/>
        </w:rPr>
        <w:t>4.7 Fine-tuning roadmap: where it would sit, how, and what it buys us</w:t>
      </w:r>
    </w:p>
    <w:p>
      <w:pPr>
        <w:spacing w:line="276" w:lineRule="auto" w:after="120"/>
      </w:pPr>
      <w:r>
        <w:rPr>
          <w:rFonts w:ascii="Calibri" w:hAnsi="Calibri"/>
          <w:sz w:val="22"/>
        </w:rPr>
        <w:t>If we fine-tune, nothing changes in the runtime graph. Fine-tuning is an offline step that replaces the Marker's base model (and optionally the Verifier's). The model abstraction layer (agents/models.py) was designed for exactly this: after fine-tuning, pointing the Marker at a local fine-tuned model is a configuration change - zero pipeline edits.</w:t>
      </w:r>
    </w:p>
    <w:p>
      <w:pPr>
        <w:spacing w:line="276" w:lineRule="auto" w:after="120"/>
      </w:pPr>
      <w:r>
        <w:rPr>
          <w:rFonts w:ascii="Calibri" w:hAnsi="Calibri"/>
          <w:sz w:val="22"/>
        </w:rPr>
        <w:t>The sequence we would follow:</w:t>
      </w:r>
    </w:p>
    <w:p>
      <w:pPr>
        <w:spacing w:line="276" w:lineRule="auto" w:after="60"/>
        <w:ind w:left="340"/>
      </w:pPr>
      <w:r>
        <w:rPr>
          <w:rFonts w:ascii="Calibri" w:hAnsi="Calibri"/>
          <w:b/>
          <w:sz w:val="22"/>
        </w:rPr>
        <w:t xml:space="preserve">1. Data first: </w:t>
      </w:r>
      <w:r>
        <w:rPr>
          <w:rFonts w:ascii="Calibri" w:hAnsi="Calibri"/>
          <w:sz w:val="22"/>
        </w:rPr>
        <w:t>Grow the Golden Set from 32 to roughly 300 labelled (answer, score, feedback) triples - AI-assisted first pass, human review. The existing 32 answers stay reserved as a held-out test set; they are never used for training (that would leak the evaluation).</w:t>
      </w:r>
    </w:p>
    <w:p>
      <w:pPr>
        <w:spacing w:line="276" w:lineRule="auto" w:after="60"/>
        <w:ind w:left="340"/>
      </w:pPr>
      <w:r>
        <w:rPr>
          <w:rFonts w:ascii="Calibri" w:hAnsi="Calibri"/>
          <w:b/>
          <w:sz w:val="22"/>
        </w:rPr>
        <w:t xml:space="preserve">2. Method: </w:t>
      </w:r>
      <w:r>
        <w:rPr>
          <w:rFonts w:ascii="Calibri" w:hAnsi="Calibri"/>
          <w:sz w:val="22"/>
        </w:rPr>
        <w:t>LoRA / QLoRA parameter-efficient fine-tuning on a small open-weight base (Qwen3-4B class). Not full fine-tuning - cheaper and easier to keep under control.</w:t>
      </w:r>
    </w:p>
    <w:p>
      <w:pPr>
        <w:spacing w:line="276" w:lineRule="auto" w:after="60"/>
        <w:ind w:left="340"/>
      </w:pPr>
      <w:r>
        <w:rPr>
          <w:rFonts w:ascii="Calibri" w:hAnsi="Calibri"/>
          <w:b/>
          <w:sz w:val="22"/>
        </w:rPr>
        <w:t xml:space="preserve">3. Objective: </w:t>
      </w:r>
      <w:r>
        <w:rPr>
          <w:rFonts w:ascii="Calibri" w:hAnsi="Calibri"/>
          <w:sz w:val="22"/>
        </w:rPr>
        <w:t>Output the same strict JSON contract (marks, justification, feedback) aligned with NESA rubric language, with the 4 TSRs as background corpus so the model internalises syllabus terms. This is the step where 'fine-tuning on the 4 TSRs' genuinely happens.</w:t>
      </w:r>
    </w:p>
    <w:p>
      <w:pPr>
        <w:spacing w:line="276" w:lineRule="auto" w:after="60"/>
        <w:ind w:left="340"/>
      </w:pPr>
      <w:r>
        <w:rPr>
          <w:rFonts w:ascii="Calibri" w:hAnsi="Calibri"/>
          <w:b/>
          <w:sz w:val="22"/>
        </w:rPr>
        <w:t xml:space="preserve">4. Evaluation gate: </w:t>
      </w:r>
      <w:r>
        <w:rPr>
          <w:rFonts w:ascii="Calibri" w:hAnsi="Calibri"/>
          <w:sz w:val="22"/>
        </w:rPr>
        <w:t>Re-run the same Golden Set regression. Acceptance criteria: accuracy no worse than today (100% within +/-1 band; 75-78% exact) AND latency/cost clearly better. Only then do we swap the provider.</w:t>
      </w:r>
    </w:p>
    <w:p>
      <w:pPr>
        <w:spacing w:line="276" w:lineRule="auto" w:after="60"/>
        <w:ind w:left="340"/>
      </w:pPr>
      <w:r>
        <w:rPr>
          <w:rFonts w:ascii="Calibri" w:hAnsi="Calibri"/>
          <w:b/>
          <w:sz w:val="22"/>
        </w:rPr>
        <w:t xml:space="preserve">5. Rollout: </w:t>
      </w:r>
      <w:r>
        <w:rPr>
          <w:rFonts w:ascii="Calibri" w:hAnsi="Calibri"/>
          <w:sz w:val="22"/>
        </w:rPr>
        <w:t>Marker runs on the fine-tuned local model (Ollama / vLLM); RAG stays (official wording is still injected); the Verifier remains on the stronger cloud model as the independent auditor. Division of labour: a fast local Marker, a sceptical cloud Verifier.</w:t>
      </w:r>
    </w:p>
    <w:p>
      <w:pPr>
        <w:spacing w:line="276" w:lineRule="auto" w:after="120"/>
      </w:pPr>
      <w:r>
        <w:rPr>
          <w:rFonts w:ascii="Calibri" w:hAnsi="Calibri"/>
          <w:sz w:val="22"/>
        </w:rPr>
        <w:t>What fine-tuning would buy us: near-zero marginal cost per marking (local inference); latency from 30-70 s down to seconds on a laptop GPU; true offline capability (the complete 'runs on a device' story for the pitch and for schools with no reliable internet); student answers never leaving the device (a real selling point for schools); and no API rate limits or output truncation failures.</w:t>
      </w:r>
    </w:p>
    <w:p>
      <w:pPr>
        <w:spacing w:line="276" w:lineRule="auto" w:after="120"/>
      </w:pPr>
      <w:r>
        <w:rPr>
          <w:rFonts w:ascii="Calibri" w:hAnsi="Calibri"/>
          <w:sz w:val="22"/>
        </w:rPr>
        <w:t>The costs and risks: roughly 300 quality labels require human time; small models have a ceiling on long, subtle answers (which is why the Verifier stays on the big model); overfitting is mitigated by the held-out test set and LoRA.</w:t>
      </w:r>
    </w:p>
    <w:p>
      <w:pPr>
        <w:spacing w:line="276" w:lineRule="auto" w:after="120"/>
      </w:pPr>
      <w:r>
        <w:rPr>
          <w:rFonts w:ascii="Calibri" w:hAnsi="Calibri"/>
          <w:sz w:val="22"/>
        </w:rPr>
        <w:t>Timing: after the competition core is stable - not before the deadline with 32 samples. If a judge asks whether we fine-tuned: 'The MVP does not need it - published evidence and our own 32-answer regression show rubric-conditioned prompting with RAG is sufficient. We have a concrete roadmap to add fine-tuning for offline deployment, with the 4 TSRs as the training corpus.'</w:t>
      </w:r>
    </w:p>
    <w:p>
      <w:pPr>
        <w:spacing w:before="320" w:after="120"/>
      </w:pPr>
      <w:r>
        <w:rPr>
          <w:rFonts w:ascii="Calibri" w:hAnsi="Calibri"/>
          <w:b/>
          <w:color w:val="1F4E79"/>
          <w:sz w:val="32"/>
        </w:rPr>
        <w:t>4.5 The Five Applications (Phase 3-6, delivered)</w:t>
      </w:r>
    </w:p>
    <w:p>
      <w:pPr>
        <w:spacing w:line="276" w:lineRule="auto" w:after="120"/>
      </w:pPr>
      <w:r>
        <w:rPr>
          <w:rFonts w:ascii="Calibri" w:hAnsi="Calibri"/>
          <w:sz w:val="22"/>
        </w:rPr>
        <w:t>Beyond the marking engine, the platform now ships five teacher- and student-facing applications on top of one engine, one knowledge base and one privacy layer. All were built and verified end-to-end with real LLM calls (25 September 2026), backed by 118 automated tests across 7 suites plus the live marking regression (test_mark: 6/6 gradings, cache verified).</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fill="1F4E79"/>
          </w:tcPr>
          <w:p>
            <w:pPr>
              <w:spacing w:after="40" w:before="40"/>
            </w:pPr>
            <w:r/>
            <w:r>
              <w:rPr>
                <w:rFonts w:ascii="Calibri" w:hAnsi="Calibri"/>
                <w:b/>
                <w:color w:val="FFFFFF"/>
                <w:sz w:val="20"/>
              </w:rPr>
              <w:t>Application</w:t>
            </w:r>
          </w:p>
        </w:tc>
        <w:tc>
          <w:tcPr>
            <w:tcW w:type="dxa" w:w="4195"/>
            <w:shd w:fill="1F4E79"/>
          </w:tcPr>
          <w:p>
            <w:pPr>
              <w:spacing w:after="40" w:before="40"/>
            </w:pPr>
            <w:r/>
            <w:r>
              <w:rPr>
                <w:rFonts w:ascii="Calibri" w:hAnsi="Calibri"/>
                <w:b/>
                <w:color w:val="FFFFFF"/>
                <w:sz w:val="20"/>
              </w:rPr>
              <w:t>What it does</w:t>
            </w:r>
          </w:p>
        </w:tc>
        <w:tc>
          <w:tcPr>
            <w:tcW w:type="dxa" w:w="3061"/>
            <w:shd w:fill="1F4E79"/>
          </w:tcPr>
          <w:p>
            <w:pPr>
              <w:spacing w:after="40" w:before="40"/>
            </w:pPr>
            <w:r/>
            <w:r>
              <w:rPr>
                <w:rFonts w:ascii="Calibri" w:hAnsi="Calibri"/>
                <w:b/>
                <w:color w:val="FFFFFF"/>
                <w:sz w:val="20"/>
              </w:rPr>
              <w:t>End-to-end verification</w:t>
            </w:r>
          </w:p>
        </w:tc>
      </w:tr>
      <w:tr>
        <w:tc>
          <w:tcPr>
            <w:tcW w:type="dxa" w:w="1814"/>
            <w:shd w:fill="F2F6FA"/>
          </w:tcPr>
          <w:p>
            <w:pPr>
              <w:spacing w:after="40" w:before="40"/>
            </w:pPr>
            <w:r/>
            <w:r>
              <w:rPr>
                <w:rFonts w:ascii="Calibri" w:hAnsi="Calibri"/>
                <w:b w:val="0"/>
                <w:sz w:val="20"/>
              </w:rPr>
              <w:t>Marking (upgraded)</w:t>
            </w:r>
          </w:p>
        </w:tc>
        <w:tc>
          <w:tcPr>
            <w:tcW w:type="dxa" w:w="4195"/>
            <w:shd w:fill="F2F6FA"/>
          </w:tcPr>
          <w:p>
            <w:pPr>
              <w:spacing w:after="40" w:before="40"/>
            </w:pPr>
            <w:r/>
            <w:r>
              <w:rPr>
                <w:rFonts w:ascii="Calibri" w:hAnsi="Calibri"/>
                <w:b w:val="0"/>
                <w:sz w:val="20"/>
              </w:rPr>
              <w:t>Privacy-scrubbed pipeline (anonymise before the model, restore only for display); 'suggested mark' tone throughout; feedback quotes the official marking guidelines verbatim; teachers can add their own questions via a form and mark them immediately</w:t>
            </w:r>
          </w:p>
        </w:tc>
        <w:tc>
          <w:tcPr>
            <w:tcW w:type="dxa" w:w="3061"/>
            <w:shd w:fill="F2F6FA"/>
          </w:tcPr>
          <w:p>
            <w:pPr>
              <w:spacing w:after="40" w:before="40"/>
            </w:pPr>
            <w:r/>
            <w:r>
              <w:rPr>
                <w:rFonts w:ascii="Calibri" w:hAnsi="Calibri"/>
                <w:b w:val="0"/>
                <w:sz w:val="20"/>
              </w:rPr>
              <w:t>Custom question saved (custom-1 with 3 parsed criteria) and marked 4/4; rubric quotes verified in live output</w:t>
            </w:r>
          </w:p>
        </w:tc>
      </w:tr>
      <w:tr>
        <w:tc>
          <w:tcPr>
            <w:tcW w:type="dxa" w:w="1814"/>
          </w:tcPr>
          <w:p>
            <w:pPr>
              <w:spacing w:after="40" w:before="40"/>
            </w:pPr>
            <w:r/>
            <w:r>
              <w:rPr>
                <w:rFonts w:ascii="Calibri" w:hAnsi="Calibri"/>
                <w:b w:val="0"/>
                <w:sz w:val="20"/>
              </w:rPr>
              <w:t>Lesson Planner</w:t>
            </w:r>
          </w:p>
        </w:tc>
        <w:tc>
          <w:tcPr>
            <w:tcW w:type="dxa" w:w="4195"/>
          </w:tcPr>
          <w:p>
            <w:pPr>
              <w:spacing w:after="40" w:before="40"/>
            </w:pPr>
            <w:r/>
            <w:r>
              <w:rPr>
                <w:rFonts w:ascii="Calibri" w:hAnsi="Calibri"/>
                <w:b w:val="0"/>
                <w:sz w:val="20"/>
              </w:rPr>
              <w:t>Tick NESA syllabus dot points (all 180 extracted from the official digital syllabus), optionally paste the school's own material, generate a timed lesson plan: objectives, lesson flow, assessment point, explicit syllabus alignment</w:t>
            </w:r>
          </w:p>
        </w:tc>
        <w:tc>
          <w:tcPr>
            <w:tcW w:type="dxa" w:w="3061"/>
          </w:tcPr>
          <w:p>
            <w:pPr>
              <w:spacing w:after="40" w:before="40"/>
            </w:pPr>
            <w:r/>
            <w:r>
              <w:rPr>
                <w:rFonts w:ascii="Calibri" w:hAnsi="Calibri"/>
                <w:b w:val="0"/>
                <w:sz w:val="20"/>
              </w:rPr>
              <w:t>Full Year 12 Data science plan generated: 4 objectives, 6 timed segments, exit-ticket assessment, 3/3 alignment</w:t>
            </w:r>
          </w:p>
        </w:tc>
      </w:tr>
      <w:tr>
        <w:tc>
          <w:tcPr>
            <w:tcW w:type="dxa" w:w="1814"/>
            <w:shd w:fill="F2F6FA"/>
          </w:tcPr>
          <w:p>
            <w:pPr>
              <w:spacing w:after="40" w:before="40"/>
            </w:pPr>
            <w:r/>
            <w:r>
              <w:rPr>
                <w:rFonts w:ascii="Calibri" w:hAnsi="Calibri"/>
                <w:b w:val="0"/>
                <w:sz w:val="20"/>
              </w:rPr>
              <w:t>Students</w:t>
            </w:r>
          </w:p>
        </w:tc>
        <w:tc>
          <w:tcPr>
            <w:tcW w:type="dxa" w:w="4195"/>
            <w:shd w:fill="F2F6FA"/>
          </w:tcPr>
          <w:p>
            <w:pPr>
              <w:spacing w:after="40" w:before="40"/>
            </w:pPr>
            <w:r/>
            <w:r>
              <w:rPr>
                <w:rFonts w:ascii="Calibri" w:hAnsi="Calibri"/>
                <w:b w:val="0"/>
                <w:sz w:val="20"/>
              </w:rPr>
              <w:t>Progress tracker (current level, trend with numeric evidence, weak areas, 3-5 concrete recommendations) + NESA-style personalised report comments that blend in the teacher's own notes with correct pronouns</w:t>
            </w:r>
          </w:p>
        </w:tc>
        <w:tc>
          <w:tcPr>
            <w:tcW w:type="dxa" w:w="3061"/>
            <w:shd w:fill="F2F6FA"/>
          </w:tcPr>
          <w:p>
            <w:pPr>
              <w:spacing w:after="40" w:before="40"/>
            </w:pPr>
            <w:r/>
            <w:r>
              <w:rPr>
                <w:rFonts w:ascii="Calibri" w:hAnsi="Calibri"/>
                <w:b w:val="0"/>
                <w:sz w:val="20"/>
              </w:rPr>
              <w:t>Trend detected 33% -&gt; 67% -&gt; 100% (+67 pts); comment generated with teacher note 'aim to achieve top results' naturally integrated</w:t>
            </w:r>
          </w:p>
        </w:tc>
      </w:tr>
      <w:tr>
        <w:tc>
          <w:tcPr>
            <w:tcW w:type="dxa" w:w="1814"/>
          </w:tcPr>
          <w:p>
            <w:pPr>
              <w:spacing w:after="40" w:before="40"/>
            </w:pPr>
            <w:r/>
            <w:r>
              <w:rPr>
                <w:rFonts w:ascii="Calibri" w:hAnsi="Calibri"/>
                <w:b w:val="0"/>
                <w:sz w:val="20"/>
              </w:rPr>
              <w:t>Practice &amp; Ask</w:t>
            </w:r>
          </w:p>
        </w:tc>
        <w:tc>
          <w:tcPr>
            <w:tcW w:type="dxa" w:w="4195"/>
          </w:tcPr>
          <w:p>
            <w:pPr>
              <w:spacing w:after="40" w:before="40"/>
            </w:pPr>
            <w:r/>
            <w:r>
              <w:rPr>
                <w:rFonts w:ascii="Calibri" w:hAnsi="Calibri"/>
                <w:b w:val="0"/>
                <w:sz w:val="20"/>
              </w:rPr>
              <w:t>Targeted practice generation from selected syllabus points / weak areas; student Q&amp;A grounded strictly in official NESA material, with sources cited and an honest 'not covered in course material' path</w:t>
            </w:r>
          </w:p>
        </w:tc>
        <w:tc>
          <w:tcPr>
            <w:tcW w:type="dxa" w:w="3061"/>
          </w:tcPr>
          <w:p>
            <w:pPr>
              <w:spacing w:after="40" w:before="40"/>
            </w:pPr>
            <w:r/>
            <w:r>
              <w:rPr>
                <w:rFonts w:ascii="Calibri" w:hAnsi="Calibri"/>
                <w:b w:val="0"/>
                <w:sz w:val="20"/>
              </w:rPr>
              <w:t>HSC-style scenario questions with marking points generated; interval-vs-ratio question answered with TSR citations</w:t>
            </w:r>
          </w:p>
        </w:tc>
      </w:tr>
      <w:tr>
        <w:tc>
          <w:tcPr>
            <w:tcW w:type="dxa" w:w="1814"/>
            <w:shd w:fill="F2F6FA"/>
          </w:tcPr>
          <w:p>
            <w:pPr>
              <w:spacing w:after="40" w:before="40"/>
            </w:pPr>
            <w:r/>
            <w:r>
              <w:rPr>
                <w:rFonts w:ascii="Calibri" w:hAnsi="Calibri"/>
                <w:b w:val="0"/>
                <w:sz w:val="20"/>
              </w:rPr>
              <w:t>Lesson Review</w:t>
            </w:r>
          </w:p>
        </w:tc>
        <w:tc>
          <w:tcPr>
            <w:tcW w:type="dxa" w:w="4195"/>
            <w:shd w:fill="F2F6FA"/>
          </w:tcPr>
          <w:p>
            <w:pPr>
              <w:spacing w:after="40" w:before="40"/>
            </w:pPr>
            <w:r/>
            <w:r>
              <w:rPr>
                <w:rFonts w:ascii="Calibri" w:hAnsi="Calibri"/>
                <w:b w:val="0"/>
                <w:sz w:val="20"/>
              </w:rPr>
              <w:t>Upload a lesson recording (faster-whisper transcription) or paste a transcript; per-dot-point coverage check with quoted evidence, strengths, missed items, next-lesson recommendations</w:t>
            </w:r>
          </w:p>
        </w:tc>
        <w:tc>
          <w:tcPr>
            <w:tcW w:type="dxa" w:w="3061"/>
            <w:shd w:fill="F2F6FA"/>
          </w:tcPr>
          <w:p>
            <w:pPr>
              <w:spacing w:after="40" w:before="40"/>
            </w:pPr>
            <w:r/>
            <w:r>
              <w:rPr>
                <w:rFonts w:ascii="Calibri" w:hAnsi="Calibri"/>
                <w:b w:val="0"/>
                <w:sz w:val="20"/>
              </w:rPr>
              <w:t>Coverage check correctly identified covered points vs missed points (interval/ratio, sampling) with transcript quotes</w:t>
            </w:r>
          </w:p>
        </w:tc>
      </w:tr>
    </w:tbl>
    <w:p/>
    <w:p>
      <w:pPr>
        <w:spacing w:before="200" w:after="80"/>
      </w:pPr>
      <w:r>
        <w:rPr>
          <w:rFonts w:ascii="Calibri" w:hAnsi="Calibri"/>
          <w:b/>
          <w:sz w:val="26"/>
        </w:rPr>
        <w:t>4.5.1 Privacy layer - anonymise before the model sees anything</w:t>
      </w:r>
    </w:p>
    <w:p>
      <w:pPr>
        <w:spacing w:line="276" w:lineRule="auto" w:after="120"/>
      </w:pPr>
      <w:r>
        <w:rPr>
          <w:rFonts w:ascii="Calibri" w:hAnsi="Calibri"/>
          <w:sz w:val="22"/>
        </w:rPr>
        <w:t>Team requirement: student data is proprietary. The pipeline now scrubs names, emails and phone numbers (deterministic replacement, no ML guesswork) before the answer reaches any LLM, and restores the real values only in the local display layer. If the privacy module ever fails, marking degrades with an explicit warning rather than silently leaking data.</w:t>
      </w:r>
    </w:p>
    <w:p>
      <w:pPr>
        <w:spacing w:line="276" w:lineRule="auto" w:after="60"/>
        <w:ind w:left="340"/>
      </w:pPr>
      <w:r>
        <w:rPr>
          <w:rFonts w:ascii="Calibri" w:hAnsi="Calibri"/>
          <w:b/>
          <w:sz w:val="22"/>
        </w:rPr>
        <w:t xml:space="preserve">Verified: </w:t>
      </w:r>
      <w:r>
        <w:rPr>
          <w:rFonts w:ascii="Calibri" w:hAnsi="Calibri"/>
          <w:sz w:val="22"/>
        </w:rPr>
        <w:t>21 tests including word-boundary safety ('Ann' never matches 'Announcement'), Chinese-name support, and round-trip fidelity</w:t>
      </w:r>
    </w:p>
    <w:p>
      <w:pPr>
        <w:spacing w:line="276" w:lineRule="auto" w:after="60"/>
        <w:ind w:left="340"/>
      </w:pPr>
      <w:r>
        <w:rPr>
          <w:rFonts w:ascii="Calibri" w:hAnsi="Calibri"/>
          <w:b/>
          <w:sz w:val="22"/>
        </w:rPr>
        <w:t xml:space="preserve">End-to-end: </w:t>
      </w:r>
      <w:r>
        <w:rPr>
          <w:rFonts w:ascii="Calibri" w:hAnsi="Calibri"/>
          <w:sz w:val="22"/>
        </w:rPr>
        <w:t>A live grading run proved zero leakage: the engine received [STUDENT_1]/[EMAIL_1] while the teacher's report showed real values</w:t>
      </w:r>
    </w:p>
    <w:p>
      <w:pPr>
        <w:spacing w:before="200" w:after="80"/>
      </w:pPr>
      <w:r>
        <w:rPr>
          <w:rFonts w:ascii="Calibri" w:hAnsi="Calibri"/>
          <w:b/>
          <w:sz w:val="26"/>
        </w:rPr>
        <w:t>4.5.2 One engine, five applications - the architecture story</w:t>
      </w:r>
    </w:p>
    <w:p>
      <w:pPr>
        <w:spacing w:line="276" w:lineRule="auto" w:after="120"/>
      </w:pPr>
      <w:r>
        <w:rPr>
          <w:rFonts w:ascii="Calibri" w:hAnsi="Calibri"/>
          <w:sz w:val="22"/>
        </w:rPr>
        <w:t>Every application is a different exit from the same core: the dual-agent marking engine, the TSR retrieval index, the 180-point syllabus dataset and the model abstraction layer. New features are new interfaces and prompts, not new pipelines - which is why five applications shipped in days without touching the validated core.</w:t>
      </w:r>
    </w:p>
    <w:p>
      <w:pPr>
        <w:spacing w:before="320" w:after="120"/>
      </w:pPr>
      <w:r>
        <w:rPr>
          <w:rFonts w:ascii="Calibri" w:hAnsi="Calibri"/>
          <w:b/>
          <w:color w:val="1F4E79"/>
          <w:sz w:val="32"/>
        </w:rPr>
        <w:t>5. How We Verified (Methodology)</w:t>
      </w:r>
    </w:p>
    <w:p>
      <w:pPr>
        <w:spacing w:line="276" w:lineRule="auto" w:after="120"/>
      </w:pPr>
      <w:r>
        <w:rPr>
          <w:rFonts w:ascii="Calibri" w:hAnsi="Calibri"/>
          <w:sz w:val="22"/>
        </w:rPr>
        <w:t>To measure quality honestly we built a Golden Set - the same pattern used in academic grading research:</w:t>
      </w:r>
    </w:p>
    <w:p>
      <w:pPr>
        <w:spacing w:line="276" w:lineRule="auto" w:after="60"/>
        <w:ind w:left="340"/>
      </w:pPr>
      <w:r>
        <w:rPr>
          <w:rFonts w:ascii="Calibri" w:hAnsi="Calibri"/>
          <w:b/>
          <w:sz w:val="22"/>
        </w:rPr>
        <w:t xml:space="preserve">Questions: </w:t>
      </w:r>
      <w:r>
        <w:rPr>
          <w:rFonts w:ascii="Calibri" w:hAnsi="Calibri"/>
          <w:sz w:val="22"/>
        </w:rPr>
        <w:t>8 real 2025 HSC questions were selected (text-answerable ones across all four syllabus modules)</w:t>
      </w:r>
    </w:p>
    <w:p>
      <w:pPr>
        <w:spacing w:line="276" w:lineRule="auto" w:after="60"/>
        <w:ind w:left="340"/>
      </w:pPr>
      <w:r>
        <w:rPr>
          <w:rFonts w:ascii="Calibri" w:hAnsi="Calibri"/>
          <w:b/>
          <w:sz w:val="22"/>
        </w:rPr>
        <w:t xml:space="preserve">Answers: </w:t>
      </w:r>
      <w:r>
        <w:rPr>
          <w:rFonts w:ascii="Calibri" w:hAnsi="Calibri"/>
          <w:sz w:val="22"/>
        </w:rPr>
        <w:t>For each question we wrote 4 simulated student answers: excellent, good, weak, borderline (32 total) - deliberately imperfect, with the occasional spelling slip, like real students</w:t>
      </w:r>
    </w:p>
    <w:p>
      <w:pPr>
        <w:spacing w:line="276" w:lineRule="auto" w:after="60"/>
        <w:ind w:left="340"/>
      </w:pPr>
      <w:r>
        <w:rPr>
          <w:rFonts w:ascii="Calibri" w:hAnsi="Calibri"/>
          <w:b/>
          <w:sz w:val="22"/>
        </w:rPr>
        <w:t xml:space="preserve">Expected marks: </w:t>
      </w:r>
      <w:r>
        <w:rPr>
          <w:rFonts w:ascii="Calibri" w:hAnsi="Calibri"/>
          <w:sz w:val="22"/>
        </w:rPr>
        <w:t>Expected marks were derived strictly from the official NESA marking guidelines; every answer carries a note stating which band criterion justifies its expected mark</w:t>
      </w:r>
    </w:p>
    <w:p>
      <w:pPr>
        <w:spacing w:line="276" w:lineRule="auto" w:after="60"/>
        <w:ind w:left="340"/>
      </w:pPr>
      <w:r>
        <w:rPr>
          <w:rFonts w:ascii="Calibri" w:hAnsi="Calibri"/>
          <w:b/>
          <w:sz w:val="22"/>
        </w:rPr>
        <w:t xml:space="preserve">Runner: </w:t>
      </w:r>
      <w:r>
        <w:rPr>
          <w:rFonts w:ascii="Calibri" w:hAnsi="Calibri"/>
          <w:sz w:val="22"/>
        </w:rPr>
        <w:t>tests/run_golden.py feeds each answer through the real pipeline and compares AI marks against expected marks</w:t>
      </w:r>
    </w:p>
    <w:p>
      <w:pPr>
        <w:spacing w:line="276" w:lineRule="auto" w:after="60"/>
        <w:ind w:left="340"/>
      </w:pPr>
      <w:r>
        <w:rPr>
          <w:rFonts w:ascii="Calibri" w:hAnsi="Calibri"/>
          <w:b/>
          <w:sz w:val="22"/>
        </w:rPr>
        <w:t xml:space="preserve">Self-audit: </w:t>
      </w:r>
      <w:r>
        <w:rPr>
          <w:rFonts w:ascii="Calibri" w:hAnsi="Calibri"/>
          <w:sz w:val="22"/>
        </w:rPr>
        <w:t>During human review one expectation was itself revised (q24 weak: 1 -&gt; 2 marks) because the official band-2 criterion ('Identifies some features...') clearly applied - the correction is logged in golden_set.json with its rationale</w:t>
      </w:r>
    </w:p>
    <w:p>
      <w:pPr>
        <w:spacing w:before="320" w:after="120"/>
      </w:pPr>
      <w:r>
        <w:rPr>
          <w:rFonts w:ascii="Calibri" w:hAnsi="Calibri"/>
          <w:b/>
          <w:color w:val="1F4E79"/>
          <w:sz w:val="32"/>
        </w:rPr>
        <w:t>6. Verification Results</w:t>
      </w:r>
    </w:p>
    <w:tbl>
      <w:tblPr>
        <w:tblStyle w:val="TableGrid"/>
        <w:tblW w:type="auto" w:w="0"/>
        <w:jc w:val="center"/>
        <w:tblLook w:firstColumn="1" w:firstRow="1" w:lastColumn="0" w:lastRow="0" w:noHBand="0" w:noVBand="1" w:val="04A0"/>
      </w:tblPr>
      <w:tblGrid>
        <w:gridCol w:w="4873"/>
        <w:gridCol w:w="4873"/>
      </w:tblGrid>
      <w:tr>
        <w:tc>
          <w:tcPr>
            <w:tcW w:type="dxa" w:w="4535"/>
            <w:shd w:fill="1F4E79"/>
          </w:tcPr>
          <w:p>
            <w:pPr>
              <w:spacing w:after="40" w:before="40"/>
            </w:pPr>
            <w:r/>
            <w:r>
              <w:rPr>
                <w:rFonts w:ascii="Calibri" w:hAnsi="Calibri"/>
                <w:b/>
                <w:color w:val="FFFFFF"/>
                <w:sz w:val="20"/>
              </w:rPr>
              <w:t>Metric</w:t>
            </w:r>
          </w:p>
        </w:tc>
        <w:tc>
          <w:tcPr>
            <w:tcW w:type="dxa" w:w="4535"/>
            <w:shd w:fill="1F4E79"/>
          </w:tcPr>
          <w:p>
            <w:pPr>
              <w:spacing w:after="40" w:before="40"/>
            </w:pPr>
            <w:r/>
            <w:r>
              <w:rPr>
                <w:rFonts w:ascii="Calibri" w:hAnsi="Calibri"/>
                <w:b/>
                <w:color w:val="FFFFFF"/>
                <w:sz w:val="20"/>
              </w:rPr>
              <w:t>Value</w:t>
            </w:r>
          </w:p>
        </w:tc>
      </w:tr>
      <w:tr>
        <w:tc>
          <w:tcPr>
            <w:tcW w:type="dxa" w:w="4535"/>
            <w:shd w:fill="F2F6FA"/>
          </w:tcPr>
          <w:p>
            <w:pPr>
              <w:spacing w:after="40" w:before="40"/>
            </w:pPr>
            <w:r/>
            <w:r>
              <w:rPr>
                <w:rFonts w:ascii="Calibri" w:hAnsi="Calibri"/>
                <w:b w:val="0"/>
                <w:sz w:val="20"/>
              </w:rPr>
              <w:t>Answers graded successfully</w:t>
            </w:r>
          </w:p>
        </w:tc>
        <w:tc>
          <w:tcPr>
            <w:tcW w:type="dxa" w:w="4535"/>
            <w:shd w:fill="F2F6FA"/>
          </w:tcPr>
          <w:p>
            <w:pPr>
              <w:spacing w:after="40" w:before="40"/>
            </w:pPr>
            <w:r/>
            <w:r>
              <w:rPr>
                <w:rFonts w:ascii="Calibri" w:hAnsi="Calibri"/>
                <w:b w:val="0"/>
                <w:sz w:val="20"/>
              </w:rPr>
              <w:t>32 / 32 (0 skipped, 0 errors)</w:t>
            </w:r>
          </w:p>
        </w:tc>
      </w:tr>
      <w:tr>
        <w:tc>
          <w:tcPr>
            <w:tcW w:type="dxa" w:w="4535"/>
          </w:tcPr>
          <w:p>
            <w:pPr>
              <w:spacing w:after="40" w:before="40"/>
            </w:pPr>
            <w:r/>
            <w:r>
              <w:rPr>
                <w:rFonts w:ascii="Calibri" w:hAnsi="Calibri"/>
                <w:b w:val="0"/>
                <w:sz w:val="20"/>
              </w:rPr>
              <w:t>Within +/-1 band of official rubric</w:t>
            </w:r>
          </w:p>
        </w:tc>
        <w:tc>
          <w:tcPr>
            <w:tcW w:type="dxa" w:w="4535"/>
          </w:tcPr>
          <w:p>
            <w:pPr>
              <w:spacing w:after="40" w:before="40"/>
            </w:pPr>
            <w:r/>
            <w:r>
              <w:rPr>
                <w:rFonts w:ascii="Calibri" w:hAnsi="Calibri"/>
                <w:b w:val="0"/>
                <w:sz w:val="20"/>
              </w:rPr>
              <w:t>32 / 32 = 100% (in every run)</w:t>
            </w:r>
          </w:p>
        </w:tc>
      </w:tr>
      <w:tr>
        <w:tc>
          <w:tcPr>
            <w:tcW w:type="dxa" w:w="4535"/>
            <w:shd w:fill="F2F6FA"/>
          </w:tcPr>
          <w:p>
            <w:pPr>
              <w:spacing w:after="40" w:before="40"/>
            </w:pPr>
            <w:r/>
            <w:r>
              <w:rPr>
                <w:rFonts w:ascii="Calibri" w:hAnsi="Calibri"/>
                <w:b w:val="0"/>
                <w:sz w:val="20"/>
              </w:rPr>
              <w:t>Wild misses (&gt;=2 bands off)</w:t>
            </w:r>
          </w:p>
        </w:tc>
        <w:tc>
          <w:tcPr>
            <w:tcW w:type="dxa" w:w="4535"/>
            <w:shd w:fill="F2F6FA"/>
          </w:tcPr>
          <w:p>
            <w:pPr>
              <w:spacing w:after="40" w:before="40"/>
            </w:pPr>
            <w:r/>
            <w:r>
              <w:rPr>
                <w:rFonts w:ascii="Calibri" w:hAnsi="Calibri"/>
                <w:b w:val="0"/>
                <w:sz w:val="20"/>
              </w:rPr>
              <w:t>0 (in every run)</w:t>
            </w:r>
          </w:p>
        </w:tc>
      </w:tr>
      <w:tr>
        <w:tc>
          <w:tcPr>
            <w:tcW w:type="dxa" w:w="4535"/>
          </w:tcPr>
          <w:p>
            <w:pPr>
              <w:spacing w:after="40" w:before="40"/>
            </w:pPr>
            <w:r/>
            <w:r>
              <w:rPr>
                <w:rFonts w:ascii="Calibri" w:hAnsi="Calibri"/>
                <w:b w:val="0"/>
                <w:sz w:val="20"/>
              </w:rPr>
              <w:t>Exact match with official rubric</w:t>
            </w:r>
          </w:p>
        </w:tc>
        <w:tc>
          <w:tcPr>
            <w:tcW w:type="dxa" w:w="4535"/>
          </w:tcPr>
          <w:p>
            <w:pPr>
              <w:spacing w:after="40" w:before="40"/>
            </w:pPr>
            <w:r/>
            <w:r>
              <w:rPr>
                <w:rFonts w:ascii="Calibri" w:hAnsi="Calibri"/>
                <w:b w:val="0"/>
                <w:sz w:val="20"/>
              </w:rPr>
              <w:t>75-78% across three runs (78.1% baseline; 75.0% in the two most recent, fully consistent)</w:t>
            </w:r>
          </w:p>
        </w:tc>
      </w:tr>
    </w:tbl>
    <w:p/>
    <w:p>
      <w:pPr>
        <w:spacing w:line="276" w:lineRule="auto" w:after="120"/>
      </w:pPr>
      <w:r>
        <w:rPr>
          <w:rFonts w:ascii="Calibri" w:hAnsi="Calibri"/>
          <w:sz w:val="22"/>
        </w:rPr>
        <w:t>By answer quality (most recent run; the pattern is stable across runs):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fill="1F4E79"/>
          </w:tcPr>
          <w:p>
            <w:pPr>
              <w:spacing w:after="40" w:before="40"/>
            </w:pPr>
            <w:r/>
            <w:r>
              <w:rPr>
                <w:rFonts w:ascii="Calibri" w:hAnsi="Calibri"/>
                <w:b/>
                <w:color w:val="FFFFFF"/>
                <w:sz w:val="20"/>
              </w:rPr>
              <w:t>Quality band</w:t>
            </w:r>
          </w:p>
        </w:tc>
        <w:tc>
          <w:tcPr>
            <w:tcW w:type="dxa" w:w="1701"/>
            <w:shd w:fill="1F4E79"/>
          </w:tcPr>
          <w:p>
            <w:pPr>
              <w:spacing w:after="40" w:before="40"/>
            </w:pPr>
            <w:r/>
            <w:r>
              <w:rPr>
                <w:rFonts w:ascii="Calibri" w:hAnsi="Calibri"/>
                <w:b/>
                <w:color w:val="FFFFFF"/>
                <w:sz w:val="20"/>
              </w:rPr>
              <w:t>Exact match</w:t>
            </w:r>
          </w:p>
        </w:tc>
        <w:tc>
          <w:tcPr>
            <w:tcW w:type="dxa" w:w="1701"/>
            <w:shd w:fill="1F4E79"/>
          </w:tcPr>
          <w:p>
            <w:pPr>
              <w:spacing w:after="40" w:before="40"/>
            </w:pPr>
            <w:r/>
            <w:r>
              <w:rPr>
                <w:rFonts w:ascii="Calibri" w:hAnsi="Calibri"/>
                <w:b/>
                <w:color w:val="FFFFFF"/>
                <w:sz w:val="20"/>
              </w:rPr>
              <w:t>Within +/-1 band</w:t>
            </w:r>
          </w:p>
        </w:tc>
        <w:tc>
          <w:tcPr>
            <w:tcW w:type="dxa" w:w="3118"/>
            <w:shd w:fill="1F4E79"/>
          </w:tcPr>
          <w:p>
            <w:pPr>
              <w:spacing w:after="40" w:before="40"/>
            </w:pPr>
            <w:r/>
            <w:r>
              <w:rPr>
                <w:rFonts w:ascii="Calibri" w:hAnsi="Calibri"/>
                <w:b/>
                <w:color w:val="FFFFFF"/>
                <w:sz w:val="20"/>
              </w:rPr>
              <w:t>Notes</w:t>
            </w:r>
          </w:p>
        </w:tc>
      </w:tr>
      <w:tr>
        <w:tc>
          <w:tcPr>
            <w:tcW w:type="dxa" w:w="2551"/>
            <w:shd w:fill="F2F6FA"/>
          </w:tcPr>
          <w:p>
            <w:pPr>
              <w:spacing w:after="40" w:before="40"/>
            </w:pPr>
            <w:r/>
            <w:r>
              <w:rPr>
                <w:rFonts w:ascii="Calibri" w:hAnsi="Calibri"/>
                <w:b w:val="0"/>
                <w:sz w:val="20"/>
              </w:rPr>
              <w:t>Excellent (top answers)</w:t>
            </w:r>
          </w:p>
        </w:tc>
        <w:tc>
          <w:tcPr>
            <w:tcW w:type="dxa" w:w="1701"/>
            <w:shd w:fill="F2F6FA"/>
          </w:tcPr>
          <w:p>
            <w:pPr>
              <w:spacing w:after="40" w:before="40"/>
            </w:pPr>
            <w:r/>
            <w:r>
              <w:rPr>
                <w:rFonts w:ascii="Calibri" w:hAnsi="Calibri"/>
                <w:b w:val="0"/>
                <w:sz w:val="20"/>
              </w:rPr>
              <w:t>8/8 = 100%</w:t>
            </w:r>
          </w:p>
        </w:tc>
        <w:tc>
          <w:tcPr>
            <w:tcW w:type="dxa" w:w="1701"/>
            <w:shd w:fill="F2F6FA"/>
          </w:tcPr>
          <w:p>
            <w:pPr>
              <w:spacing w:after="40" w:before="40"/>
            </w:pPr>
            <w:r/>
            <w:r>
              <w:rPr>
                <w:rFonts w:ascii="Calibri" w:hAnsi="Calibri"/>
                <w:b w:val="0"/>
                <w:sz w:val="20"/>
              </w:rPr>
              <w:t>100%</w:t>
            </w:r>
          </w:p>
        </w:tc>
        <w:tc>
          <w:tcPr>
            <w:tcW w:type="dxa" w:w="3118"/>
            <w:shd w:fill="F2F6FA"/>
          </w:tcPr>
          <w:p>
            <w:pPr>
              <w:spacing w:after="40" w:before="40"/>
            </w:pPr>
            <w:r/>
            <w:r>
              <w:rPr>
                <w:rFonts w:ascii="Calibri" w:hAnsi="Calibri"/>
                <w:b w:val="0"/>
                <w:sz w:val="20"/>
              </w:rPr>
              <w:t>The engine reliably recognises high-quality answers</w:t>
            </w:r>
          </w:p>
        </w:tc>
      </w:tr>
      <w:tr>
        <w:tc>
          <w:tcPr>
            <w:tcW w:type="dxa" w:w="2551"/>
          </w:tcPr>
          <w:p>
            <w:pPr>
              <w:spacing w:after="40" w:before="40"/>
            </w:pPr>
            <w:r/>
            <w:r>
              <w:rPr>
                <w:rFonts w:ascii="Calibri" w:hAnsi="Calibri"/>
                <w:b w:val="0"/>
                <w:sz w:val="20"/>
              </w:rPr>
              <w:t>Good</w:t>
            </w:r>
          </w:p>
        </w:tc>
        <w:tc>
          <w:tcPr>
            <w:tcW w:type="dxa" w:w="1701"/>
          </w:tcPr>
          <w:p>
            <w:pPr>
              <w:spacing w:after="40" w:before="40"/>
            </w:pPr>
            <w:r/>
            <w:r>
              <w:rPr>
                <w:rFonts w:ascii="Calibri" w:hAnsi="Calibri"/>
                <w:b w:val="0"/>
                <w:sz w:val="20"/>
              </w:rPr>
              <w:t>6/8 = 75%</w:t>
            </w:r>
          </w:p>
        </w:tc>
        <w:tc>
          <w:tcPr>
            <w:tcW w:type="dxa" w:w="1701"/>
          </w:tcPr>
          <w:p>
            <w:pPr>
              <w:spacing w:after="40" w:before="40"/>
            </w:pPr>
            <w:r/>
            <w:r>
              <w:rPr>
                <w:rFonts w:ascii="Calibri" w:hAnsi="Calibri"/>
                <w:b w:val="0"/>
                <w:sz w:val="20"/>
              </w:rPr>
              <w:t>100%</w:t>
            </w:r>
          </w:p>
        </w:tc>
        <w:tc>
          <w:tcPr>
            <w:tcW w:type="dxa" w:w="3118"/>
          </w:tcPr>
          <w:p>
            <w:pPr>
              <w:spacing w:after="40" w:before="40"/>
            </w:pPr>
            <w:r/>
            <w:r>
              <w:rPr>
                <w:rFonts w:ascii="Calibri" w:hAnsi="Calibri"/>
                <w:b w:val="0"/>
                <w:sz w:val="20"/>
              </w:rPr>
            </w:r>
          </w:p>
        </w:tc>
      </w:tr>
      <w:tr>
        <w:tc>
          <w:tcPr>
            <w:tcW w:type="dxa" w:w="2551"/>
            <w:shd w:fill="F2F6FA"/>
          </w:tcPr>
          <w:p>
            <w:pPr>
              <w:spacing w:after="40" w:before="40"/>
            </w:pPr>
            <w:r/>
            <w:r>
              <w:rPr>
                <w:rFonts w:ascii="Calibri" w:hAnsi="Calibri"/>
                <w:b w:val="0"/>
                <w:sz w:val="20"/>
              </w:rPr>
              <w:t>Weak</w:t>
            </w:r>
          </w:p>
        </w:tc>
        <w:tc>
          <w:tcPr>
            <w:tcW w:type="dxa" w:w="1701"/>
            <w:shd w:fill="F2F6FA"/>
          </w:tcPr>
          <w:p>
            <w:pPr>
              <w:spacing w:after="40" w:before="40"/>
            </w:pPr>
            <w:r/>
            <w:r>
              <w:rPr>
                <w:rFonts w:ascii="Calibri" w:hAnsi="Calibri"/>
                <w:b w:val="0"/>
                <w:sz w:val="20"/>
              </w:rPr>
              <w:t>6/8 = 75%</w:t>
            </w:r>
          </w:p>
        </w:tc>
        <w:tc>
          <w:tcPr>
            <w:tcW w:type="dxa" w:w="1701"/>
            <w:shd w:fill="F2F6FA"/>
          </w:tcPr>
          <w:p>
            <w:pPr>
              <w:spacing w:after="40" w:before="40"/>
            </w:pPr>
            <w:r/>
            <w:r>
              <w:rPr>
                <w:rFonts w:ascii="Calibri" w:hAnsi="Calibri"/>
                <w:b w:val="0"/>
                <w:sz w:val="20"/>
              </w:rPr>
              <w:t>100%</w:t>
            </w:r>
          </w:p>
        </w:tc>
        <w:tc>
          <w:tcPr>
            <w:tcW w:type="dxa" w:w="3118"/>
            <w:shd w:fill="F2F6FA"/>
          </w:tcPr>
          <w:p>
            <w:pPr>
              <w:spacing w:after="40" w:before="40"/>
            </w:pPr>
            <w:r/>
            <w:r>
              <w:rPr>
                <w:rFonts w:ascii="Calibri" w:hAnsi="Calibri"/>
                <w:b w:val="0"/>
                <w:sz w:val="20"/>
              </w:rPr>
            </w:r>
          </w:p>
        </w:tc>
      </w:tr>
      <w:tr>
        <w:tc>
          <w:tcPr>
            <w:tcW w:type="dxa" w:w="2551"/>
          </w:tcPr>
          <w:p>
            <w:pPr>
              <w:spacing w:after="40" w:before="40"/>
            </w:pPr>
            <w:r/>
            <w:r>
              <w:rPr>
                <w:rFonts w:ascii="Calibri" w:hAnsi="Calibri"/>
                <w:b w:val="0"/>
                <w:sz w:val="20"/>
              </w:rPr>
              <w:t>Borderline (trickiest)</w:t>
            </w:r>
          </w:p>
        </w:tc>
        <w:tc>
          <w:tcPr>
            <w:tcW w:type="dxa" w:w="1701"/>
          </w:tcPr>
          <w:p>
            <w:pPr>
              <w:spacing w:after="40" w:before="40"/>
            </w:pPr>
            <w:r/>
            <w:r>
              <w:rPr>
                <w:rFonts w:ascii="Calibri" w:hAnsi="Calibri"/>
                <w:b w:val="0"/>
                <w:sz w:val="20"/>
              </w:rPr>
              <w:t>4/8 = 50%</w:t>
            </w:r>
          </w:p>
        </w:tc>
        <w:tc>
          <w:tcPr>
            <w:tcW w:type="dxa" w:w="1701"/>
          </w:tcPr>
          <w:p>
            <w:pPr>
              <w:spacing w:after="40" w:before="40"/>
            </w:pPr>
            <w:r/>
            <w:r>
              <w:rPr>
                <w:rFonts w:ascii="Calibri" w:hAnsi="Calibri"/>
                <w:b w:val="0"/>
                <w:sz w:val="20"/>
              </w:rPr>
              <w:t>100%</w:t>
            </w:r>
          </w:p>
        </w:tc>
        <w:tc>
          <w:tcPr>
            <w:tcW w:type="dxa" w:w="3118"/>
          </w:tcPr>
          <w:p>
            <w:pPr>
              <w:spacing w:after="40" w:before="40"/>
            </w:pPr>
            <w:r/>
            <w:r>
              <w:rPr>
                <w:rFonts w:ascii="Calibri" w:hAnsi="Calibri"/>
                <w:b w:val="0"/>
                <w:sz w:val="20"/>
              </w:rPr>
              <w:t>Disagreement here is expected - this is exactly what the Verifier flags for the teacher</w:t>
            </w:r>
          </w:p>
        </w:tc>
      </w:tr>
    </w:tbl>
    <w:p/>
    <w:p>
      <w:pPr>
        <w:jc w:val="center"/>
      </w:pPr>
      <w:r>
        <w:drawing>
          <wp:inline xmlns:a="http://schemas.openxmlformats.org/drawingml/2006/main" xmlns:pic="http://schemas.openxmlformats.org/drawingml/2006/picture">
            <wp:extent cx="5486400" cy="3260601"/>
            <wp:docPr id="4" name="Picture 4"/>
            <wp:cNvGraphicFramePr>
              <a:graphicFrameLocks noChangeAspect="1"/>
            </wp:cNvGraphicFramePr>
            <a:graphic>
              <a:graphicData uri="http://schemas.openxmlformats.org/drawingml/2006/picture">
                <pic:pic>
                  <pic:nvPicPr>
                    <pic:cNvPr id="0" name="golden_results.png"/>
                    <pic:cNvPicPr/>
                  </pic:nvPicPr>
                  <pic:blipFill>
                    <a:blip r:embed="rId15"/>
                    <a:stretch>
                      <a:fillRect/>
                    </a:stretch>
                  </pic:blipFill>
                  <pic:spPr>
                    <a:xfrm>
                      <a:off x="0" y="0"/>
                      <a:ext cx="5486400" cy="3260601"/>
                    </a:xfrm>
                    <a:prstGeom prst="rect"/>
                  </pic:spPr>
                </pic:pic>
              </a:graphicData>
            </a:graphic>
          </wp:inline>
        </w:drawing>
      </w:r>
    </w:p>
    <w:p>
      <w:pPr>
        <w:jc w:val="center"/>
      </w:pPr>
      <w:r>
        <w:rPr>
          <w:rFonts w:ascii="Calibri" w:hAnsi="Calibri"/>
          <w:i/>
          <w:color w:val="6B7684"/>
          <w:sz w:val="18"/>
        </w:rPr>
        <w:t>Figure 4 - Golden Set results (n=32 per run; three full runs)</w:t>
      </w:r>
    </w:p>
    <w:p>
      <w:pPr>
        <w:spacing w:line="276" w:lineRule="auto" w:after="120"/>
      </w:pPr>
      <w:r>
        <w:rPr>
          <w:rFonts w:ascii="Calibri" w:hAnsi="Calibri"/>
          <w:sz w:val="22"/>
        </w:rPr>
        <w:t>Interpretation: zero wild misses across all three runs means no 'great answer failed' or 'bad answer rewarded' cases, ever. The lower exact rate on borderline answers is not a weakness - real HSC markers disagree on borderline scripts too; our design routes exactly those cases to the teacher through the Verifier flag. Exact agreement varies between 75-78% across runs and moved by one answer after the September prompt upgrade (suggested-mark tone + rubric citations); the +/-1 safety line and the zero-miss record never moved.</w:t>
      </w:r>
    </w:p>
    <w:p>
      <w:pPr>
        <w:spacing w:before="320" w:after="120"/>
      </w:pPr>
      <w:r>
        <w:rPr>
          <w:rFonts w:ascii="Calibri" w:hAnsi="Calibri"/>
          <w:b/>
          <w:color w:val="1F4E79"/>
          <w:sz w:val="32"/>
        </w:rPr>
        <w:t>7. Issues Found and How We Fixed Them</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fill="1F4E79"/>
          </w:tcPr>
          <w:p>
            <w:pPr>
              <w:spacing w:after="40" w:before="40"/>
            </w:pPr>
            <w:r/>
            <w:r>
              <w:rPr>
                <w:rFonts w:ascii="Calibri" w:hAnsi="Calibri"/>
                <w:b/>
                <w:color w:val="FFFFFF"/>
                <w:sz w:val="20"/>
              </w:rPr>
              <w:t>Issue</w:t>
            </w:r>
          </w:p>
        </w:tc>
        <w:tc>
          <w:tcPr>
            <w:tcW w:type="dxa" w:w="3118"/>
            <w:shd w:fill="1F4E79"/>
          </w:tcPr>
          <w:p>
            <w:pPr>
              <w:spacing w:after="40" w:before="40"/>
            </w:pPr>
            <w:r/>
            <w:r>
              <w:rPr>
                <w:rFonts w:ascii="Calibri" w:hAnsi="Calibri"/>
                <w:b/>
                <w:color w:val="FFFFFF"/>
                <w:sz w:val="20"/>
              </w:rPr>
              <w:t>Root cause</w:t>
            </w:r>
          </w:p>
        </w:tc>
        <w:tc>
          <w:tcPr>
            <w:tcW w:type="dxa" w:w="3118"/>
            <w:shd w:fill="1F4E79"/>
          </w:tcPr>
          <w:p>
            <w:pPr>
              <w:spacing w:after="40" w:before="40"/>
            </w:pPr>
            <w:r/>
            <w:r>
              <w:rPr>
                <w:rFonts w:ascii="Calibri" w:hAnsi="Calibri"/>
                <w:b/>
                <w:color w:val="FFFFFF"/>
                <w:sz w:val="20"/>
              </w:rPr>
              <w:t>Fix</w:t>
            </w:r>
          </w:p>
        </w:tc>
      </w:tr>
      <w:tr>
        <w:tc>
          <w:tcPr>
            <w:tcW w:type="dxa" w:w="2835"/>
            <w:shd w:fill="F2F6FA"/>
          </w:tcPr>
          <w:p>
            <w:pPr>
              <w:spacing w:after="40" w:before="40"/>
            </w:pPr>
            <w:r/>
            <w:r>
              <w:rPr>
                <w:rFonts w:ascii="Calibri" w:hAnsi="Calibri"/>
                <w:b w:val="0"/>
                <w:sz w:val="20"/>
              </w:rPr>
              <w:t>Verifier output truncated on long questions (q24, 5 marks)</w:t>
            </w:r>
          </w:p>
        </w:tc>
        <w:tc>
          <w:tcPr>
            <w:tcW w:type="dxa" w:w="3118"/>
            <w:shd w:fill="F2F6FA"/>
          </w:tcPr>
          <w:p>
            <w:pPr>
              <w:spacing w:after="40" w:before="40"/>
            </w:pPr>
            <w:r/>
            <w:r>
              <w:rPr>
                <w:rFonts w:ascii="Calibri" w:hAnsi="Calibri"/>
                <w:b w:val="0"/>
                <w:sz w:val="20"/>
              </w:rPr>
              <w:t>Default max_tokens=4096 cut long JSON replies mid-string</w:t>
            </w:r>
          </w:p>
        </w:tc>
        <w:tc>
          <w:tcPr>
            <w:tcW w:type="dxa" w:w="3118"/>
            <w:shd w:fill="F2F6FA"/>
          </w:tcPr>
          <w:p>
            <w:pPr>
              <w:spacing w:after="40" w:before="40"/>
            </w:pPr>
            <w:r/>
            <w:r>
              <w:rPr>
                <w:rFonts w:ascii="Calibri" w:hAnsi="Calibri"/>
                <w:b w:val="0"/>
                <w:sz w:val="20"/>
              </w:rPr>
              <w:t>max_tokens raised to 8192 for the Verifier + prompt now asks for compact feedback (&lt;40 words per item)</w:t>
            </w:r>
          </w:p>
        </w:tc>
      </w:tr>
      <w:tr>
        <w:tc>
          <w:tcPr>
            <w:tcW w:type="dxa" w:w="2835"/>
          </w:tcPr>
          <w:p>
            <w:pPr>
              <w:spacing w:after="40" w:before="40"/>
            </w:pPr>
            <w:r/>
            <w:r>
              <w:rPr>
                <w:rFonts w:ascii="Calibri" w:hAnsi="Calibri"/>
                <w:b w:val="0"/>
                <w:sz w:val="20"/>
              </w:rPr>
              <w:t>2/32 golden answers skipped with JSON parse errors</w:t>
            </w:r>
          </w:p>
        </w:tc>
        <w:tc>
          <w:tcPr>
            <w:tcW w:type="dxa" w:w="3118"/>
          </w:tcPr>
          <w:p>
            <w:pPr>
              <w:spacing w:after="40" w:before="40"/>
            </w:pPr>
            <w:r/>
            <w:r>
              <w:rPr>
                <w:rFonts w:ascii="Calibri" w:hAnsi="Calibri"/>
                <w:b w:val="0"/>
                <w:sz w:val="20"/>
              </w:rPr>
              <w:t>Same truncation issue</w:t>
            </w:r>
          </w:p>
        </w:tc>
        <w:tc>
          <w:tcPr>
            <w:tcW w:type="dxa" w:w="3118"/>
          </w:tcPr>
          <w:p>
            <w:pPr>
              <w:spacing w:after="40" w:before="40"/>
            </w:pPr>
            <w:r/>
            <w:r>
              <w:rPr>
                <w:rFonts w:ascii="Calibri" w:hAnsi="Calibri"/>
                <w:b w:val="0"/>
                <w:sz w:val="20"/>
              </w:rPr>
              <w:t>Fixed above - re-run graded 32/32 with zero skips</w:t>
            </w:r>
          </w:p>
        </w:tc>
      </w:tr>
      <w:tr>
        <w:tc>
          <w:tcPr>
            <w:tcW w:type="dxa" w:w="2835"/>
            <w:shd w:fill="F2F6FA"/>
          </w:tcPr>
          <w:p>
            <w:pPr>
              <w:spacing w:after="40" w:before="40"/>
            </w:pPr>
            <w:r/>
            <w:r>
              <w:rPr>
                <w:rFonts w:ascii="Calibri" w:hAnsi="Calibri"/>
                <w:b w:val="0"/>
                <w:sz w:val="20"/>
              </w:rPr>
              <w:t>One expected mark looked too harsh (q24 weak: expected 1)</w:t>
            </w:r>
          </w:p>
        </w:tc>
        <w:tc>
          <w:tcPr>
            <w:tcW w:type="dxa" w:w="3118"/>
            <w:shd w:fill="F2F6FA"/>
          </w:tcPr>
          <w:p>
            <w:pPr>
              <w:spacing w:after="40" w:before="40"/>
            </w:pPr>
            <w:r/>
            <w:r>
              <w:rPr>
                <w:rFonts w:ascii="Calibri" w:hAnsi="Calibri"/>
                <w:b w:val="0"/>
                <w:sz w:val="20"/>
              </w:rPr>
              <w:t>Human labelling of the 'weak' answer was stricter than the official band-2 criterion</w:t>
            </w:r>
          </w:p>
        </w:tc>
        <w:tc>
          <w:tcPr>
            <w:tcW w:type="dxa" w:w="3118"/>
            <w:shd w:fill="F2F6FA"/>
          </w:tcPr>
          <w:p>
            <w:pPr>
              <w:spacing w:after="40" w:before="40"/>
            </w:pPr>
            <w:r/>
            <w:r>
              <w:rPr>
                <w:rFonts w:ascii="Calibri" w:hAnsi="Calibri"/>
                <w:b w:val="0"/>
                <w:sz w:val="20"/>
              </w:rPr>
              <w:t>Re-derived from the rubric: expected 2. Logged in golden_set.json with rationale</w:t>
            </w:r>
          </w:p>
        </w:tc>
      </w:tr>
      <w:tr>
        <w:tc>
          <w:tcPr>
            <w:tcW w:type="dxa" w:w="2835"/>
          </w:tcPr>
          <w:p>
            <w:pPr>
              <w:spacing w:after="40" w:before="40"/>
            </w:pPr>
            <w:r/>
            <w:r>
              <w:rPr>
                <w:rFonts w:ascii="Calibri" w:hAnsi="Calibri"/>
                <w:b w:val="0"/>
                <w:sz w:val="20"/>
              </w:rPr>
              <w:t>Model name 'deepseek-chat' failed</w:t>
            </w:r>
          </w:p>
        </w:tc>
        <w:tc>
          <w:tcPr>
            <w:tcW w:type="dxa" w:w="3118"/>
          </w:tcPr>
          <w:p>
            <w:pPr>
              <w:spacing w:after="40" w:before="40"/>
            </w:pPr>
            <w:r/>
            <w:r>
              <w:rPr>
                <w:rFonts w:ascii="Calibri" w:hAnsi="Calibri"/>
                <w:b w:val="0"/>
                <w:sz w:val="20"/>
              </w:rPr>
              <w:t>DeepSeek API serves model ids deepseek-v4-flash / deepseek-v4-pro</w:t>
            </w:r>
          </w:p>
        </w:tc>
        <w:tc>
          <w:tcPr>
            <w:tcW w:type="dxa" w:w="3118"/>
          </w:tcPr>
          <w:p>
            <w:pPr>
              <w:spacing w:after="40" w:before="40"/>
            </w:pPr>
            <w:r/>
            <w:r>
              <w:rPr>
                <w:rFonts w:ascii="Calibri" w:hAnsi="Calibri"/>
                <w:b w:val="0"/>
                <w:sz w:val="20"/>
              </w:rPr>
              <w:t>Default model corrected to deepseek-v4-flash (verified via /models endpoint)</w:t>
            </w:r>
          </w:p>
        </w:tc>
      </w:tr>
      <w:tr>
        <w:tc>
          <w:tcPr>
            <w:tcW w:type="dxa" w:w="2835"/>
            <w:shd w:fill="F2F6FA"/>
          </w:tcPr>
          <w:p>
            <w:pPr>
              <w:spacing w:after="40" w:before="40"/>
            </w:pPr>
            <w:r/>
            <w:r>
              <w:rPr>
                <w:rFonts w:ascii="Calibri" w:hAnsi="Calibri"/>
                <w:b w:val="0"/>
                <w:sz w:val="20"/>
              </w:rPr>
              <w:t>No PDF past papers exist for this subject</w:t>
            </w:r>
          </w:p>
        </w:tc>
        <w:tc>
          <w:tcPr>
            <w:tcW w:type="dxa" w:w="3118"/>
            <w:shd w:fill="F2F6FA"/>
          </w:tcPr>
          <w:p>
            <w:pPr>
              <w:spacing w:after="40" w:before="40"/>
            </w:pPr>
            <w:r/>
            <w:r>
              <w:rPr>
                <w:rFonts w:ascii="Calibri" w:hAnsi="Calibri"/>
                <w:b w:val="0"/>
                <w:sz w:val="20"/>
              </w:rPr>
              <w:t>Enterprise Computing is examined fully online; 2025 was its first HSC year</w:t>
            </w:r>
          </w:p>
        </w:tc>
        <w:tc>
          <w:tcPr>
            <w:tcW w:type="dxa" w:w="3118"/>
            <w:shd w:fill="F2F6FA"/>
          </w:tcPr>
          <w:p>
            <w:pPr>
              <w:spacing w:after="40" w:before="40"/>
            </w:pPr>
            <w:r/>
            <w:r>
              <w:rPr>
                <w:rFonts w:ascii="Calibri" w:hAnsi="Calibri"/>
                <w:b w:val="0"/>
                <w:sz w:val="20"/>
              </w:rPr>
              <w:t>Question stems captured from the official online exam system (fam.hsconline.nesa.nsw.edu.au); marking guidelines PDF downloaded from nsw.gov.au</w:t>
            </w:r>
          </w:p>
        </w:tc>
      </w:tr>
      <w:tr>
        <w:tc>
          <w:tcPr>
            <w:tcW w:type="dxa" w:w="2835"/>
          </w:tcPr>
          <w:p>
            <w:pPr>
              <w:spacing w:after="40" w:before="40"/>
            </w:pPr>
            <w:r/>
            <w:r>
              <w:rPr>
                <w:rFonts w:ascii="Calibri" w:hAnsi="Calibri"/>
                <w:b w:val="0"/>
                <w:sz w:val="20"/>
              </w:rPr>
              <w:t>Slow per-answer latency (30-70 s)</w:t>
            </w:r>
          </w:p>
        </w:tc>
        <w:tc>
          <w:tcPr>
            <w:tcW w:type="dxa" w:w="3118"/>
          </w:tcPr>
          <w:p>
            <w:pPr>
              <w:spacing w:after="40" w:before="40"/>
            </w:pPr>
            <w:r/>
            <w:r>
              <w:rPr>
                <w:rFonts w:ascii="Calibri" w:hAnsi="Calibri"/>
                <w:b w:val="0"/>
                <w:sz w:val="20"/>
              </w:rPr>
              <w:t>Each answer costs 2-4 LLM calls on DeepSeek</w:t>
            </w:r>
          </w:p>
        </w:tc>
        <w:tc>
          <w:tcPr>
            <w:tcW w:type="dxa" w:w="3118"/>
          </w:tcPr>
          <w:p>
            <w:pPr>
              <w:spacing w:after="40" w:before="40"/>
            </w:pPr>
            <w:r/>
            <w:r>
              <w:rPr>
                <w:rFonts w:ascii="Calibri" w:hAnsi="Calibri"/>
                <w:b w:val="0"/>
                <w:sz w:val="20"/>
              </w:rPr>
              <w:t>In-memory cache keyed on question + answer prefix; demo flow reuses cached results</w:t>
            </w:r>
          </w:p>
        </w:tc>
      </w:tr>
      <w:tr>
        <w:tc>
          <w:tcPr>
            <w:tcW w:type="dxa" w:w="2835"/>
            <w:shd w:fill="F2F6FA"/>
          </w:tcPr>
          <w:p>
            <w:pPr>
              <w:spacing w:after="40" w:before="40"/>
            </w:pPr>
            <w:r/>
            <w:r>
              <w:rPr>
                <w:rFonts w:ascii="Calibri" w:hAnsi="Calibri"/>
                <w:b w:val="0"/>
                <w:sz w:val="20"/>
              </w:rPr>
              <w:t>Team UI feedback: full question was not visible; interface felt less professional (emoji, round cards)</w:t>
            </w:r>
          </w:p>
        </w:tc>
        <w:tc>
          <w:tcPr>
            <w:tcW w:type="dxa" w:w="3118"/>
            <w:shd w:fill="F2F6FA"/>
          </w:tcPr>
          <w:p>
            <w:pPr>
              <w:spacing w:after="40" w:before="40"/>
            </w:pPr>
            <w:r/>
            <w:r>
              <w:rPr>
                <w:rFonts w:ascii="Calibri" w:hAnsi="Calibri"/>
                <w:b w:val="0"/>
                <w:sz w:val="20"/>
              </w:rPr>
              <w:t>Question text truncated to 78 chars in the picker; playful styling</w:t>
            </w:r>
          </w:p>
        </w:tc>
        <w:tc>
          <w:tcPr>
            <w:tcW w:type="dxa" w:w="3118"/>
            <w:shd w:fill="F2F6FA"/>
          </w:tcPr>
          <w:p>
            <w:pPr>
              <w:spacing w:after="40" w:before="40"/>
            </w:pPr>
            <w:r/>
            <w:r>
              <w:rPr>
                <w:rFonts w:ascii="Calibri" w:hAnsi="Calibri"/>
                <w:b w:val="0"/>
                <w:sz w:val="20"/>
              </w:rPr>
              <w:t>Full question preview panel added under the picker; emoji removed; corners squared; layout widened (1180 px) with more white space</w:t>
            </w:r>
          </w:p>
        </w:tc>
      </w:tr>
      <w:tr>
        <w:tc>
          <w:tcPr>
            <w:tcW w:type="dxa" w:w="2835"/>
          </w:tcPr>
          <w:p>
            <w:pPr>
              <w:spacing w:after="40" w:before="40"/>
            </w:pPr>
            <w:r/>
            <w:r>
              <w:rPr>
                <w:rFonts w:ascii="Calibri" w:hAnsi="Calibri"/>
                <w:b w:val="0"/>
                <w:sz w:val="20"/>
              </w:rPr>
              <w:t>test_mark cache assertion failed on every run</w:t>
            </w:r>
          </w:p>
        </w:tc>
        <w:tc>
          <w:tcPr>
            <w:tcW w:type="dxa" w:w="3118"/>
          </w:tcPr>
          <w:p>
            <w:pPr>
              <w:spacing w:after="40" w:before="40"/>
            </w:pPr>
            <w:r/>
            <w:r>
              <w:rPr>
                <w:rFonts w:ascii="Calibri" w:hAnsi="Calibri"/>
                <w:b w:val="0"/>
                <w:sz w:val="20"/>
              </w:rPr>
              <w:t>The test imported CACHE_HITS via from-import, binding a stale int snapshot; the engine counter was always correct (proved by isolated reproduction)</w:t>
            </w:r>
          </w:p>
        </w:tc>
        <w:tc>
          <w:tcPr>
            <w:tcW w:type="dxa" w:w="3118"/>
          </w:tcPr>
          <w:p>
            <w:pPr>
              <w:spacing w:after="40" w:before="40"/>
            </w:pPr>
            <w:r/>
            <w:r>
              <w:rPr>
                <w:rFonts w:ascii="Calibri" w:hAnsi="Calibri"/>
                <w:b w:val="0"/>
                <w:sz w:val="20"/>
              </w:rPr>
              <w:t>Test rewritten to access the counter via the module; now passes - 6/6 gradings + cache hit verified</w:t>
            </w:r>
          </w:p>
        </w:tc>
      </w:tr>
    </w:tbl>
    <w:p/>
    <w:p>
      <w:pPr>
        <w:spacing w:before="320" w:after="120"/>
      </w:pPr>
      <w:r>
        <w:rPr>
          <w:rFonts w:ascii="Calibri" w:hAnsi="Calibri"/>
          <w:b/>
          <w:color w:val="1F4E79"/>
          <w:sz w:val="32"/>
        </w:rPr>
        <w:t>8. How to Run It</w:t>
      </w:r>
    </w:p>
    <w:p>
      <w:pPr>
        <w:spacing w:line="240" w:lineRule="auto" w:after="80"/>
      </w:pPr>
      <w:r>
        <w:rPr>
          <w:rFonts w:ascii="Consolas" w:hAnsi="Consolas"/>
          <w:color w:val="2D2D2D"/>
          <w:sz w:val="18"/>
        </w:rPr>
        <w:t>cd ai-coach</w:t>
        <w:br/>
        <w:t>pip install -r requirements.txt     # openai, python-dotenv, langgraph, chromadb, gradio, sentence-transformers</w:t>
        <w:br/>
        <w:t># .env: DEEPSEEK_API_KEY=sk-... DEEPSEEK_BASE_URL=https://api.deepseek.com/v1</w:t>
        <w:br/>
        <w:t>python3 app.py                      # Gradio UI at http://127.0.0.1:7860 (5 tabs)</w:t>
        <w:br/>
        <w:t>python3 tests/test_llm.py           # model connectivity</w:t>
        <w:br/>
        <w:t>python3 tests/test_mark.py          # live marking regression: 6/6 gradings + cache check (~3 min)</w:t>
        <w:br/>
        <w:t>python3 tests/run_golden.py         # full 32-answer regression (~30-45 min)</w:t>
        <w:br/>
        <w:t># fast suites (no LLM, ~seconds each):</w:t>
        <w:br/>
        <w:t>#   tests/test_privacy.py (21) · test_store.py (9) · test_custom_questions.py (10)</w:t>
        <w:br/>
        <w:t>#   test_lesson_planner.py (16) · test_students.py (20) · test_student_coach.py (21)</w:t>
        <w:br/>
        <w:t>#   test_transcript_analyzer.py (21)</w:t>
      </w:r>
    </w:p>
    <w:p>
      <w:pPr>
        <w:spacing w:line="276" w:lineRule="auto" w:after="120"/>
      </w:pPr>
      <w:r>
        <w:rPr>
          <w:rFonts w:ascii="Calibri" w:hAnsi="Calibri"/>
          <w:sz w:val="22"/>
        </w:rPr>
        <w:t>The demo concept page (ai-coach/demo/index.html) shows the intended UX without any backend. The judge walkthrough is scripted in docs/demo_script.md.</w:t>
      </w:r>
    </w:p>
    <w:p>
      <w:pPr>
        <w:spacing w:before="320" w:after="120"/>
      </w:pPr>
      <w:r>
        <w:rPr>
          <w:rFonts w:ascii="Calibri" w:hAnsi="Calibri"/>
          <w:b/>
          <w:color w:val="1F4E79"/>
          <w:sz w:val="32"/>
        </w:rPr>
        <w:t>9. What Is Next</w:t>
      </w:r>
    </w:p>
    <w:p>
      <w:pPr>
        <w:spacing w:line="276" w:lineRule="auto" w:after="60"/>
        <w:ind w:left="340"/>
      </w:pPr>
      <w:r>
        <w:rPr>
          <w:rFonts w:ascii="Calibri" w:hAnsi="Calibri"/>
          <w:b/>
          <w:sz w:val="22"/>
        </w:rPr>
        <w:t xml:space="preserve">Just delivered: </w:t>
      </w:r>
      <w:r>
        <w:rPr>
          <w:rFonts w:ascii="Calibri" w:hAnsi="Calibri"/>
          <w:sz w:val="22"/>
        </w:rPr>
        <w:t>Five applications delivered (section 4.5). Remaining: the team trial round and judge rehearsal driven by docs/demo_script.md, plus a recorded backup video for network insurance</w:t>
      </w:r>
    </w:p>
    <w:p>
      <w:pPr>
        <w:spacing w:line="276" w:lineRule="auto" w:after="60"/>
        <w:ind w:left="340"/>
      </w:pPr>
      <w:r>
        <w:rPr>
          <w:rFonts w:ascii="Calibri" w:hAnsi="Calibri"/>
          <w:b/>
          <w:sz w:val="22"/>
        </w:rPr>
        <w:t xml:space="preserve">Coaching chat: </w:t>
      </w:r>
      <w:r>
        <w:rPr>
          <w:rFonts w:ascii="Calibri" w:hAnsi="Calibri"/>
          <w:sz w:val="22"/>
        </w:rPr>
        <w:t>Follow-up chat inside marking so a student can ask 'why did I lose the mark?' on their own answer - the Practice &amp; Ask tab already answers syllabus questions; wiring it to the marking context is the next increment</w:t>
      </w:r>
    </w:p>
    <w:p>
      <w:pPr>
        <w:spacing w:line="276" w:lineRule="auto" w:after="60"/>
        <w:ind w:left="340"/>
      </w:pPr>
      <w:r>
        <w:rPr>
          <w:rFonts w:ascii="Calibri" w:hAnsi="Calibri"/>
          <w:b/>
          <w:sz w:val="22"/>
        </w:rPr>
        <w:t xml:space="preserve">Student mind maps: </w:t>
      </w:r>
      <w:r>
        <w:rPr>
          <w:rFonts w:ascii="Calibri" w:hAnsi="Calibri"/>
          <w:sz w:val="22"/>
        </w:rPr>
        <w:t>Mind-map generation on the student side (deferred from the L3 scope)</w:t>
      </w:r>
    </w:p>
    <w:p>
      <w:pPr>
        <w:spacing w:line="276" w:lineRule="auto" w:after="60"/>
        <w:ind w:left="340"/>
      </w:pPr>
      <w:r>
        <w:rPr>
          <w:rFonts w:ascii="Calibri" w:hAnsi="Calibri"/>
          <w:b/>
          <w:sz w:val="22"/>
        </w:rPr>
        <w:t xml:space="preserve">Handwritten answers: </w:t>
      </w:r>
      <w:r>
        <w:rPr>
          <w:rFonts w:ascii="Calibri" w:hAnsi="Calibri"/>
          <w:sz w:val="22"/>
        </w:rPr>
        <w:t>Photo upload with DeepSeek's vision model (deepseek-v4-flash-vision-exp exists on our key) or a local vision model</w:t>
      </w:r>
    </w:p>
    <w:p>
      <w:pPr>
        <w:spacing w:line="276" w:lineRule="auto" w:after="60"/>
        <w:ind w:left="340"/>
      </w:pPr>
      <w:r>
        <w:rPr>
          <w:rFonts w:ascii="Calibri" w:hAnsi="Calibri"/>
          <w:b/>
          <w:sz w:val="22"/>
        </w:rPr>
        <w:t xml:space="preserve">Deployment: </w:t>
      </w:r>
      <w:r>
        <w:rPr>
          <w:rFonts w:ascii="Calibri" w:hAnsi="Calibri"/>
          <w:sz w:val="22"/>
        </w:rPr>
        <w:t>Permanent host (Render / HF PRO) so the demo is online without the laptop; local SQLite already gives schools a self-contained data story</w:t>
      </w:r>
    </w:p>
    <w:p>
      <w:pPr>
        <w:spacing w:line="276" w:lineRule="auto" w:after="60"/>
        <w:ind w:left="340"/>
      </w:pPr>
      <w:r>
        <w:rPr>
          <w:rFonts w:ascii="Calibri" w:hAnsi="Calibri"/>
          <w:b/>
          <w:sz w:val="22"/>
        </w:rPr>
        <w:t xml:space="preserve">Fine-tuning: </w:t>
      </w:r>
      <w:r>
        <w:rPr>
          <w:rFonts w:ascii="Calibri" w:hAnsi="Calibri"/>
          <w:sz w:val="22"/>
        </w:rPr>
        <w:t>Roadmap in section 4.7: grow the Golden Set to ~300 labels, LoRA-fine-tune a small open-weight Marker, keep the cloud Verifier as auditor, and run fully offline</w:t>
      </w:r>
    </w:p>
    <w:p>
      <w:pPr>
        <w:spacing w:line="276" w:lineRule="auto" w:after="60"/>
        <w:ind w:left="340"/>
      </w:pPr>
      <w:r>
        <w:rPr>
          <w:rFonts w:ascii="Calibri" w:hAnsi="Calibri"/>
          <w:b/>
          <w:sz w:val="22"/>
        </w:rPr>
        <w:t xml:space="preserve">Beyond one subject: </w:t>
      </w:r>
      <w:r>
        <w:rPr>
          <w:rFonts w:ascii="Calibri" w:hAnsi="Calibri"/>
          <w:sz w:val="22"/>
        </w:rPr>
        <w:t>The syllabus dataset (180 dot points) and the five-application architecture generalise to other qualitative subjects - the engine is not Enterprise-Computing-specific</w:t>
      </w:r>
    </w:p>
    <w:p>
      <w:pPr>
        <w:spacing w:before="320" w:after="120"/>
      </w:pPr>
      <w:r>
        <w:rPr>
          <w:rFonts w:ascii="Calibri" w:hAnsi="Calibri"/>
          <w:b/>
          <w:color w:val="1F4E79"/>
          <w:sz w:val="32"/>
        </w:rPr>
        <w:t>Appendix A - Data Sources</w:t>
      </w:r>
    </w:p>
    <w:p>
      <w:pPr>
        <w:spacing w:line="276" w:lineRule="auto" w:after="60"/>
        <w:ind w:left="340"/>
      </w:pPr>
      <w:r>
        <w:rPr>
          <w:rFonts w:ascii="Calibri" w:hAnsi="Calibri"/>
          <w:sz w:val="22"/>
        </w:rPr>
        <w:t>2025 HSC Enterprise Computing marking guidelines: nsw.gov.au (33 pages, downloaded 2026-09-02)</w:t>
      </w:r>
    </w:p>
    <w:p>
      <w:pPr>
        <w:spacing w:line="276" w:lineRule="auto" w:after="60"/>
        <w:ind w:left="340"/>
      </w:pPr>
      <w:r>
        <w:rPr>
          <w:rFonts w:ascii="Calibri" w:hAnsi="Calibri"/>
          <w:sz w:val="22"/>
        </w:rPr>
        <w:t>2025 HSC full-mark sample responses: nsw.gov.au (11 pages)</w:t>
      </w:r>
    </w:p>
    <w:p>
      <w:pPr>
        <w:spacing w:line="276" w:lineRule="auto" w:after="60"/>
        <w:ind w:left="340"/>
      </w:pPr>
      <w:r>
        <w:rPr>
          <w:rFonts w:ascii="Calibri" w:hAnsi="Calibri"/>
          <w:sz w:val="22"/>
        </w:rPr>
        <w:t>Question stems: official online exam system fam.hsconline.nesa.nsw.edu.au</w:t>
      </w:r>
    </w:p>
    <w:p>
      <w:pPr>
        <w:spacing w:line="276" w:lineRule="auto" w:after="60"/>
        <w:ind w:left="340"/>
      </w:pPr>
      <w:r>
        <w:rPr>
          <w:rFonts w:ascii="Calibri" w:hAnsi="Calibri"/>
          <w:sz w:val="22"/>
        </w:rPr>
        <w:t>4x NESA Teacher Support Resources (Year 12: data science, data visualisation, enterprise project, intelligent systems) - shared by the team</w:t>
      </w:r>
    </w:p>
    <w:p>
      <w:pPr>
        <w:spacing w:line="276" w:lineRule="auto" w:after="60"/>
        <w:ind w:left="340"/>
      </w:pPr>
      <w:r>
        <w:rPr>
          <w:rFonts w:ascii="Calibri" w:hAnsi="Calibri"/>
          <w:sz w:val="22"/>
        </w:rPr>
        <w:t>All artifacts live in /home/gaogao/workspace/ai-coach/ with raw source files kept under raw/ for traceability</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ci-wav-hardwood-fix.trycloudflare.com" TargetMode="External"/><Relationship Id="rId10" Type="http://schemas.openxmlformats.org/officeDocument/2006/relationships/hyperlink" Target="https://12345666ddwa.github.io/coachai-mvp/" TargetMode="External"/><Relationship Id="rId11" Type="http://schemas.openxmlformats.org/officeDocument/2006/relationships/hyperlink" Target="https://github.com/12345666ddwa/coachai-mvp"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